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96B7EC">
      <w:pPr>
        <w:spacing w:line="480" w:lineRule="auto"/>
        <w:rPr>
          <w:rFonts w:hint="eastAsia" w:ascii="微软雅黑" w:hAnsi="微软雅黑" w:eastAsia="微软雅黑" w:cs="Malgun Gothic Semilight"/>
          <w:b/>
          <w:bCs/>
          <w:szCs w:val="21"/>
        </w:rPr>
      </w:pPr>
      <w:r>
        <w:rPr>
          <w:rFonts w:hint="eastAsia" w:ascii="微软雅黑" w:hAnsi="微软雅黑" w:eastAsia="微软雅黑" w:cs="Malgun Gothic Semilight"/>
          <w:b/>
          <w:bCs/>
          <w:szCs w:val="21"/>
        </w:rPr>
        <w:t>化材院吴涛、袁尚富、王冰哲团队A</w:t>
      </w:r>
      <w:r>
        <w:rPr>
          <w:rFonts w:ascii="微软雅黑" w:hAnsi="微软雅黑" w:eastAsia="微软雅黑" w:cs="Malgun Gothic Semilight"/>
          <w:b/>
          <w:bCs/>
          <w:szCs w:val="21"/>
        </w:rPr>
        <w:t>ngewandte</w:t>
      </w:r>
      <w:r>
        <w:rPr>
          <w:rFonts w:hint="eastAsia" w:ascii="微软雅黑" w:hAnsi="微软雅黑" w:eastAsia="微软雅黑" w:cs="Malgun Gothic Semilight"/>
          <w:b/>
          <w:bCs/>
          <w:szCs w:val="21"/>
        </w:rPr>
        <w:t>：双协同S型异质结通过苄胺级联光氧化还原催化实现二苄胺的定向合成</w:t>
      </w:r>
    </w:p>
    <w:p w14:paraId="55934CB1">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光催化通过整合氧化还原过程，展现出在温和条件下驱动合成转化的巨大潜力。然而，开发高效氧化和还原反应相互协同的级联反应体系仍面临热力学/动力学难以同步优化及复杂反应网络精准调控不足的核心挑战。</w:t>
      </w:r>
      <w:r>
        <w:rPr>
          <w:rFonts w:hint="eastAsia" w:ascii="微软雅黑" w:hAnsi="微软雅黑" w:eastAsia="微软雅黑" w:cs="Malgun Gothic Semilight"/>
          <w:szCs w:val="21"/>
        </w:rPr>
        <w:t>近期，我院吴涛、袁尚富、王冰哲团队基于金属硫族半导体团簇平台，设计出</w:t>
      </w:r>
      <w:r>
        <w:rPr>
          <w:rFonts w:ascii="微软雅黑" w:hAnsi="微软雅黑" w:eastAsia="微软雅黑" w:cs="Malgun Gothic Semilight"/>
          <w:szCs w:val="21"/>
        </w:rPr>
        <w:t>S</w:t>
      </w:r>
      <w:r>
        <w:rPr>
          <w:rFonts w:hint="eastAsia" w:ascii="微软雅黑" w:hAnsi="微软雅黑" w:eastAsia="微软雅黑" w:cs="Malgun Gothic Semilight"/>
          <w:szCs w:val="21"/>
        </w:rPr>
        <w:t>型异质结</w:t>
      </w:r>
      <w:bookmarkStart w:id="0" w:name="OLE_LINK2"/>
      <w:r>
        <w:rPr>
          <w:rFonts w:ascii="微软雅黑" w:hAnsi="微软雅黑" w:eastAsia="微软雅黑" w:cs="Malgun Gothic Semilight"/>
          <w:szCs w:val="21"/>
        </w:rPr>
        <w:t>T4-CdCu</w:t>
      </w:r>
      <w:bookmarkEnd w:id="0"/>
      <w:r>
        <w:rPr>
          <w:rFonts w:ascii="微软雅黑" w:hAnsi="微软雅黑" w:eastAsia="微软雅黑" w:cs="Malgun Gothic Semilight"/>
          <w:szCs w:val="21"/>
        </w:rPr>
        <w:t>/ZIS</w:t>
      </w:r>
      <w:r>
        <w:rPr>
          <w:rFonts w:hint="eastAsia" w:ascii="微软雅黑" w:hAnsi="微软雅黑" w:eastAsia="微软雅黑" w:cs="Malgun Gothic Semilight"/>
          <w:szCs w:val="21"/>
        </w:rPr>
        <w:t xml:space="preserve"> （</w:t>
      </w:r>
      <w:bookmarkStart w:id="1" w:name="OLE_LINK9"/>
      <w:r>
        <w:rPr>
          <w:rFonts w:ascii="微软雅黑" w:hAnsi="微软雅黑" w:eastAsia="微软雅黑" w:cs="Malgun Gothic Semilight"/>
          <w:szCs w:val="21"/>
        </w:rPr>
        <w:t>T4-CdCu</w:t>
      </w:r>
      <w:r>
        <w:rPr>
          <w:rFonts w:hint="eastAsia" w:ascii="微软雅黑" w:hAnsi="微软雅黑" w:eastAsia="微软雅黑" w:cs="Arial"/>
        </w:rPr>
        <w:t>为</w:t>
      </w:r>
      <w:r>
        <w:rPr>
          <w:rFonts w:ascii="微软雅黑" w:hAnsi="微软雅黑" w:eastAsia="微软雅黑" w:cs="Arial"/>
        </w:rPr>
        <w:t>[Cd</w:t>
      </w:r>
      <w:r>
        <w:rPr>
          <w:rFonts w:ascii="微软雅黑" w:hAnsi="微软雅黑" w:eastAsia="微软雅黑" w:cs="Arial"/>
          <w:vertAlign w:val="subscript"/>
        </w:rPr>
        <w:t>3</w:t>
      </w:r>
      <w:r>
        <w:rPr>
          <w:rFonts w:ascii="微软雅黑" w:hAnsi="微软雅黑" w:eastAsia="微软雅黑" w:cs="Arial"/>
        </w:rPr>
        <w:t>CuIn</w:t>
      </w:r>
      <w:r>
        <w:rPr>
          <w:rFonts w:ascii="微软雅黑" w:hAnsi="微软雅黑" w:eastAsia="微软雅黑" w:cs="Arial"/>
          <w:vertAlign w:val="subscript"/>
        </w:rPr>
        <w:t>16</w:t>
      </w:r>
      <w:r>
        <w:rPr>
          <w:rFonts w:ascii="微软雅黑" w:hAnsi="微软雅黑" w:eastAsia="微软雅黑" w:cs="Arial"/>
        </w:rPr>
        <w:t>S</w:t>
      </w:r>
      <w:r>
        <w:rPr>
          <w:rFonts w:ascii="微软雅黑" w:hAnsi="微软雅黑" w:eastAsia="微软雅黑" w:cs="Arial"/>
          <w:vertAlign w:val="subscript"/>
        </w:rPr>
        <w:t>35</w:t>
      </w:r>
      <w:r>
        <w:rPr>
          <w:rFonts w:ascii="微软雅黑" w:hAnsi="微软雅黑" w:eastAsia="微软雅黑" w:cs="Arial"/>
        </w:rPr>
        <w:t>]</w:t>
      </w:r>
      <w:r>
        <w:rPr>
          <w:rFonts w:ascii="微软雅黑" w:hAnsi="微软雅黑" w:eastAsia="微软雅黑" w:cs="Arial"/>
          <w:vertAlign w:val="superscript"/>
        </w:rPr>
        <w:t>15-</w:t>
      </w:r>
      <w:bookmarkEnd w:id="1"/>
      <w:r>
        <w:rPr>
          <w:rFonts w:hint="eastAsia" w:ascii="微软雅黑" w:hAnsi="微软雅黑" w:eastAsia="微软雅黑" w:cs="Arial"/>
        </w:rPr>
        <w:t>团簇，ZIS为</w:t>
      </w:r>
      <w:r>
        <w:rPr>
          <w:rFonts w:ascii="微软雅黑" w:hAnsi="微软雅黑" w:eastAsia="微软雅黑" w:cs="Malgun Gothic Semilight"/>
          <w:szCs w:val="21"/>
        </w:rPr>
        <w:t>ZnIn</w:t>
      </w:r>
      <w:r>
        <w:rPr>
          <w:rFonts w:ascii="微软雅黑" w:hAnsi="微软雅黑" w:eastAsia="微软雅黑" w:cs="Malgun Gothic Semilight"/>
          <w:szCs w:val="21"/>
          <w:vertAlign w:val="subscript"/>
        </w:rPr>
        <w:t>2</w:t>
      </w:r>
      <w:r>
        <w:rPr>
          <w:rFonts w:ascii="微软雅黑" w:hAnsi="微软雅黑" w:eastAsia="微软雅黑" w:cs="Malgun Gothic Semilight"/>
          <w:szCs w:val="21"/>
        </w:rPr>
        <w:t>S</w:t>
      </w:r>
      <w:r>
        <w:rPr>
          <w:rFonts w:ascii="微软雅黑" w:hAnsi="微软雅黑" w:eastAsia="微软雅黑" w:cs="Malgun Gothic Semilight"/>
          <w:szCs w:val="21"/>
          <w:vertAlign w:val="subscript"/>
        </w:rPr>
        <w:t>4</w:t>
      </w:r>
      <w:r>
        <w:rPr>
          <w:rFonts w:hint="eastAsia" w:ascii="微软雅黑" w:hAnsi="微软雅黑" w:eastAsia="微软雅黑" w:cs="Malgun Gothic Semilight"/>
          <w:szCs w:val="21"/>
        </w:rPr>
        <w:t>二维半导体材料），成功实现</w:t>
      </w:r>
      <w:r>
        <w:rPr>
          <w:rFonts w:ascii="微软雅黑" w:hAnsi="微软雅黑" w:eastAsia="微软雅黑" w:cs="Malgun Gothic Semilight"/>
          <w:szCs w:val="21"/>
        </w:rPr>
        <w:t>CO</w:t>
      </w:r>
      <w:r>
        <w:rPr>
          <w:rFonts w:hint="eastAsia" w:ascii="Cambria Math" w:hAnsi="Cambria Math" w:eastAsia="微软雅黑" w:cs="Cambria Math"/>
          <w:szCs w:val="21"/>
          <w:vertAlign w:val="subscript"/>
        </w:rPr>
        <w:t>2</w:t>
      </w:r>
      <w:r>
        <w:rPr>
          <w:rFonts w:hint="eastAsia" w:ascii="微软雅黑" w:hAnsi="微软雅黑" w:eastAsia="微软雅黑" w:cs="Malgun Gothic Semilight"/>
          <w:szCs w:val="21"/>
        </w:rPr>
        <w:t>气氛下苄胺（</w:t>
      </w:r>
      <w:r>
        <w:rPr>
          <w:rFonts w:ascii="微软雅黑" w:hAnsi="微软雅黑" w:eastAsia="微软雅黑" w:cs="Malgun Gothic Semilight"/>
          <w:szCs w:val="21"/>
        </w:rPr>
        <w:t>BA</w:t>
      </w:r>
      <w:r>
        <w:rPr>
          <w:rFonts w:hint="eastAsia" w:ascii="微软雅黑" w:hAnsi="微软雅黑" w:eastAsia="微软雅黑" w:cs="Malgun Gothic Semilight"/>
          <w:szCs w:val="21"/>
        </w:rPr>
        <w:t>）向二苄胺（</w:t>
      </w:r>
      <w:r>
        <w:rPr>
          <w:rFonts w:ascii="微软雅黑" w:hAnsi="微软雅黑" w:eastAsia="微软雅黑" w:cs="Malgun Gothic Semilight"/>
          <w:szCs w:val="21"/>
        </w:rPr>
        <w:t>DBA</w:t>
      </w:r>
      <w:r>
        <w:rPr>
          <w:rFonts w:hint="eastAsia" w:ascii="微软雅黑" w:hAnsi="微软雅黑" w:eastAsia="微软雅黑" w:cs="Malgun Gothic Semilight"/>
          <w:szCs w:val="21"/>
        </w:rPr>
        <w:t>）的光催化氧化还原级联转化。由于独特催化机理，该级联过程实现了</w:t>
      </w:r>
      <w:r>
        <w:rPr>
          <w:rFonts w:ascii="微软雅黑" w:hAnsi="微软雅黑" w:eastAsia="微软雅黑" w:cs="Malgun Gothic Semilight"/>
          <w:szCs w:val="21"/>
        </w:rPr>
        <w:t>DBA</w:t>
      </w:r>
      <w:r>
        <w:rPr>
          <w:rFonts w:hint="eastAsia" w:ascii="微软雅黑" w:hAnsi="微软雅黑" w:eastAsia="微软雅黑" w:cs="Malgun Gothic Semilight"/>
          <w:szCs w:val="21"/>
        </w:rPr>
        <w:t>产率高达</w:t>
      </w:r>
      <w:r>
        <w:rPr>
          <w:rFonts w:ascii="微软雅黑" w:hAnsi="微软雅黑" w:eastAsia="微软雅黑" w:cs="Malgun Gothic Semilight"/>
          <w:szCs w:val="21"/>
        </w:rPr>
        <w:t>8.31 mmol·g</w:t>
      </w:r>
      <w:r>
        <w:rPr>
          <w:rFonts w:hint="eastAsia" w:ascii="Cambria Math" w:hAnsi="Cambria Math" w:eastAsia="微软雅黑" w:cs="Cambria Math"/>
          <w:szCs w:val="21"/>
          <w:vertAlign w:val="superscript"/>
        </w:rPr>
        <w:t>-1</w:t>
      </w:r>
      <w:r>
        <w:rPr>
          <w:rFonts w:hint="eastAsia" w:ascii="微软雅黑" w:hAnsi="微软雅黑" w:eastAsia="微软雅黑" w:cs="微软雅黑"/>
          <w:szCs w:val="21"/>
        </w:rPr>
        <w:t>·</w:t>
      </w:r>
      <w:r>
        <w:rPr>
          <w:rFonts w:ascii="微软雅黑" w:hAnsi="微软雅黑" w:eastAsia="微软雅黑" w:cs="Malgun Gothic Semilight"/>
          <w:szCs w:val="21"/>
        </w:rPr>
        <w:t>h</w:t>
      </w:r>
      <w:r>
        <w:rPr>
          <w:rFonts w:hint="eastAsia" w:ascii="Cambria Math" w:hAnsi="Cambria Math" w:eastAsia="微软雅黑" w:cs="Cambria Math"/>
          <w:szCs w:val="21"/>
          <w:vertAlign w:val="superscript"/>
        </w:rPr>
        <w:t>-1</w:t>
      </w:r>
      <w:r>
        <w:rPr>
          <w:rFonts w:hint="eastAsia" w:ascii="微软雅黑" w:hAnsi="微软雅黑" w:eastAsia="微软雅黑" w:cs="Malgun Gothic Semilight"/>
          <w:szCs w:val="21"/>
        </w:rPr>
        <w:t>，展现出显著优势，具体体现在以下几个方面：</w:t>
      </w:r>
    </w:p>
    <w:p w14:paraId="66380D82">
      <w:pPr>
        <w:pStyle w:val="16"/>
        <w:numPr>
          <w:ilvl w:val="0"/>
          <w:numId w:val="1"/>
        </w:numPr>
        <w:ind w:firstLineChars="0"/>
        <w:rPr>
          <w:rFonts w:hint="eastAsia" w:ascii="微软雅黑" w:hAnsi="微软雅黑" w:eastAsia="微软雅黑" w:cs="微软雅黑"/>
          <w:szCs w:val="21"/>
        </w:rPr>
      </w:pPr>
      <w:r>
        <w:rPr>
          <w:rFonts w:hint="eastAsia" w:ascii="微软雅黑" w:hAnsi="微软雅黑" w:eastAsia="微软雅黑" w:cs="微软雅黑"/>
          <w:szCs w:val="21"/>
        </w:rPr>
        <w:t>该工作提出"双协同"S型异质结创新设计理念：内部协同通过费米能级工程精准调控T4-CdCu/ZIS异质结的能级匹配，诱导形成内建电场（IEF），驱动光生电子-空穴对的定向分离。该机制在动力学层面实现了载流子的快速分离、缓慢复合及长寿命特性，同时维持热力学有利的氧化还原电位。外部协同则构建空间分离但功能耦合的级联催化，BA在ZIS表面氧化生成BBAD，中间体迁移至T4-CdCu团簇表面具有强吸附稳定特性的高暴露的硫位点，经进一步还原生成DBA，形成"物理分离、化学接力"的协同路径。该双协同机制为解决传统光催化体系中氧化与还原过程相互干扰的核心矛盾提供了一种新策略。</w:t>
      </w:r>
    </w:p>
    <w:p w14:paraId="62BD1805">
      <w:pPr>
        <w:pStyle w:val="16"/>
        <w:numPr>
          <w:ilvl w:val="0"/>
          <w:numId w:val="1"/>
        </w:numPr>
        <w:ind w:firstLineChars="0"/>
        <w:rPr>
          <w:rFonts w:hint="eastAsia" w:ascii="微软雅黑" w:hAnsi="微软雅黑" w:eastAsia="微软雅黑" w:cs="微软雅黑"/>
          <w:szCs w:val="21"/>
        </w:rPr>
      </w:pPr>
      <w:r>
        <w:rPr>
          <w:rFonts w:hint="eastAsia" w:ascii="微软雅黑" w:hAnsi="微软雅黑" w:eastAsia="微软雅黑" w:cs="微软雅黑"/>
          <w:szCs w:val="21"/>
        </w:rPr>
        <w:t>本工作通过多尺度原位表征与理论模拟的协同解析，建立了完备的反应机理论证体系。原位</w:t>
      </w:r>
      <w:r>
        <w:rPr>
          <w:rFonts w:ascii="微软雅黑" w:hAnsi="微软雅黑" w:eastAsia="微软雅黑" w:cs="微软雅黑"/>
          <w:szCs w:val="21"/>
        </w:rPr>
        <w:t>XPS</w:t>
      </w:r>
      <w:r>
        <w:rPr>
          <w:rFonts w:hint="eastAsia" w:ascii="微软雅黑" w:hAnsi="微软雅黑" w:eastAsia="微软雅黑" w:cs="微软雅黑"/>
          <w:szCs w:val="21"/>
        </w:rPr>
        <w:t>揭示光照诱导的电子流向，结合</w:t>
      </w:r>
      <w:r>
        <w:rPr>
          <w:rFonts w:ascii="微软雅黑" w:hAnsi="微软雅黑" w:eastAsia="微软雅黑" w:cs="微软雅黑"/>
          <w:szCs w:val="21"/>
        </w:rPr>
        <w:t>DFT</w:t>
      </w:r>
      <w:r>
        <w:rPr>
          <w:rFonts w:hint="eastAsia" w:ascii="微软雅黑" w:hAnsi="微软雅黑" w:eastAsia="微软雅黑" w:cs="微软雅黑"/>
          <w:szCs w:val="21"/>
        </w:rPr>
        <w:t>计算确证</w:t>
      </w:r>
      <w:r>
        <w:rPr>
          <w:rFonts w:ascii="微软雅黑" w:hAnsi="微软雅黑" w:eastAsia="微软雅黑" w:cs="微软雅黑"/>
          <w:szCs w:val="21"/>
        </w:rPr>
        <w:t>S</w:t>
      </w:r>
      <w:r>
        <w:rPr>
          <w:rFonts w:hint="eastAsia" w:ascii="微软雅黑" w:hAnsi="微软雅黑" w:eastAsia="微软雅黑" w:cs="微软雅黑"/>
          <w:szCs w:val="21"/>
        </w:rPr>
        <w:t>型异质结的电荷转移机制；飞秒瞬态吸收光谱捕获超快电荷分离过程及载流子寿命等相关信息，并验证催化剂与底物之间发生的电子转移过程；原位</w:t>
      </w:r>
      <w:r>
        <w:rPr>
          <w:rFonts w:ascii="微软雅黑" w:hAnsi="微软雅黑" w:eastAsia="微软雅黑" w:cs="微软雅黑"/>
          <w:szCs w:val="21"/>
        </w:rPr>
        <w:t>EPR</w:t>
      </w:r>
      <w:r>
        <w:rPr>
          <w:rFonts w:hint="eastAsia" w:ascii="微软雅黑" w:hAnsi="微软雅黑" w:eastAsia="微软雅黑" w:cs="微软雅黑"/>
          <w:szCs w:val="21"/>
        </w:rPr>
        <w:t>检测到•</w:t>
      </w:r>
      <w:r>
        <w:rPr>
          <w:rFonts w:ascii="微软雅黑" w:hAnsi="微软雅黑" w:eastAsia="微软雅黑" w:cs="微软雅黑"/>
          <w:szCs w:val="21"/>
        </w:rPr>
        <w:t>CH(NH</w:t>
      </w:r>
      <w:r>
        <w:rPr>
          <w:rFonts w:hint="eastAsia" w:ascii="Cambria Math" w:hAnsi="Cambria Math" w:eastAsia="微软雅黑" w:cs="Cambria Math"/>
          <w:szCs w:val="21"/>
          <w:vertAlign w:val="subscript"/>
        </w:rPr>
        <w:t>2</w:t>
      </w:r>
      <w:r>
        <w:rPr>
          <w:rFonts w:ascii="微软雅黑" w:hAnsi="微软雅黑" w:eastAsia="微软雅黑" w:cs="微软雅黑"/>
          <w:szCs w:val="21"/>
        </w:rPr>
        <w:t>)Ph</w:t>
      </w:r>
      <w:r>
        <w:rPr>
          <w:rFonts w:hint="eastAsia" w:ascii="微软雅黑" w:hAnsi="微软雅黑" w:eastAsia="微软雅黑" w:cs="微软雅黑"/>
          <w:szCs w:val="21"/>
        </w:rPr>
        <w:t>自由基特征信号，证实自由基中间体的形成；原位</w:t>
      </w:r>
      <w:r>
        <w:rPr>
          <w:rFonts w:ascii="微软雅黑" w:hAnsi="微软雅黑" w:eastAsia="微软雅黑" w:cs="微软雅黑"/>
          <w:szCs w:val="21"/>
        </w:rPr>
        <w:t>DRIFTS</w:t>
      </w:r>
      <w:r>
        <w:rPr>
          <w:rFonts w:hint="eastAsia" w:ascii="微软雅黑" w:hAnsi="微软雅黑" w:eastAsia="微软雅黑" w:cs="微软雅黑"/>
          <w:szCs w:val="21"/>
        </w:rPr>
        <w:t>动态观测到</w:t>
      </w:r>
      <w:r>
        <w:rPr>
          <w:rFonts w:ascii="微软雅黑" w:hAnsi="微软雅黑" w:eastAsia="微软雅黑" w:cs="微软雅黑"/>
          <w:szCs w:val="21"/>
        </w:rPr>
        <w:t>C=N</w:t>
      </w:r>
      <w:r>
        <w:rPr>
          <w:rFonts w:hint="eastAsia" w:ascii="微软雅黑" w:hAnsi="微软雅黑" w:eastAsia="微软雅黑" w:cs="微软雅黑"/>
          <w:szCs w:val="21"/>
        </w:rPr>
        <w:t>键向</w:t>
      </w:r>
      <w:r>
        <w:rPr>
          <w:rFonts w:ascii="微软雅黑" w:hAnsi="微软雅黑" w:eastAsia="微软雅黑" w:cs="微软雅黑"/>
          <w:szCs w:val="21"/>
        </w:rPr>
        <w:t>C-N</w:t>
      </w:r>
      <w:r>
        <w:rPr>
          <w:rFonts w:hint="eastAsia" w:ascii="微软雅黑" w:hAnsi="微软雅黑" w:eastAsia="微软雅黑" w:cs="微软雅黑"/>
          <w:szCs w:val="21"/>
        </w:rPr>
        <w:t>键的转化路径，完整呈现</w:t>
      </w:r>
      <w:r>
        <w:rPr>
          <w:rFonts w:ascii="微软雅黑" w:hAnsi="微软雅黑" w:eastAsia="微软雅黑" w:cs="微软雅黑"/>
          <w:szCs w:val="21"/>
        </w:rPr>
        <w:t>BA</w:t>
      </w:r>
      <w:r>
        <w:rPr>
          <w:rFonts w:hint="eastAsia" w:ascii="微软雅黑" w:hAnsi="微软雅黑" w:eastAsia="微软雅黑" w:cs="微软雅黑"/>
          <w:szCs w:val="21"/>
        </w:rPr>
        <w:t>→</w:t>
      </w:r>
      <w:r>
        <w:rPr>
          <w:rFonts w:ascii="微软雅黑" w:hAnsi="微软雅黑" w:eastAsia="微软雅黑" w:cs="微软雅黑"/>
          <w:szCs w:val="21"/>
        </w:rPr>
        <w:t>BBAD</w:t>
      </w:r>
      <w:r>
        <w:rPr>
          <w:rFonts w:hint="eastAsia" w:ascii="微软雅黑" w:hAnsi="微软雅黑" w:eastAsia="微软雅黑" w:cs="微软雅黑"/>
          <w:szCs w:val="21"/>
        </w:rPr>
        <w:t>→</w:t>
      </w:r>
      <w:r>
        <w:rPr>
          <w:rFonts w:ascii="微软雅黑" w:hAnsi="微软雅黑" w:eastAsia="微软雅黑" w:cs="微软雅黑"/>
          <w:szCs w:val="21"/>
        </w:rPr>
        <w:t>DBA</w:t>
      </w:r>
      <w:r>
        <w:rPr>
          <w:rFonts w:hint="eastAsia" w:ascii="微软雅黑" w:hAnsi="微软雅黑" w:eastAsia="微软雅黑" w:cs="微软雅黑"/>
          <w:szCs w:val="21"/>
        </w:rPr>
        <w:t>的级联反应历程；</w:t>
      </w:r>
      <w:r>
        <w:rPr>
          <w:rFonts w:ascii="微软雅黑" w:hAnsi="微软雅黑" w:eastAsia="微软雅黑" w:cs="微软雅黑"/>
          <w:szCs w:val="21"/>
        </w:rPr>
        <w:t>DFT</w:t>
      </w:r>
      <w:r>
        <w:rPr>
          <w:rFonts w:hint="eastAsia" w:ascii="微软雅黑" w:hAnsi="微软雅黑" w:eastAsia="微软雅黑" w:cs="微软雅黑"/>
          <w:szCs w:val="21"/>
        </w:rPr>
        <w:t>计算进一步揭示</w:t>
      </w:r>
      <w:r>
        <w:rPr>
          <w:rFonts w:ascii="微软雅黑" w:hAnsi="微软雅黑" w:eastAsia="微软雅黑" w:cs="微软雅黑"/>
          <w:szCs w:val="21"/>
        </w:rPr>
        <w:t>BBAD</w:t>
      </w:r>
      <w:r>
        <w:rPr>
          <w:rFonts w:hint="eastAsia" w:ascii="微软雅黑" w:hAnsi="微软雅黑" w:eastAsia="微软雅黑" w:cs="微软雅黑"/>
          <w:szCs w:val="21"/>
        </w:rPr>
        <w:t>在</w:t>
      </w:r>
      <w:r>
        <w:rPr>
          <w:rFonts w:ascii="微软雅黑" w:hAnsi="微软雅黑" w:eastAsia="微软雅黑" w:cs="微软雅黑"/>
          <w:szCs w:val="21"/>
        </w:rPr>
        <w:t>T4-CdCu</w:t>
      </w:r>
      <w:r>
        <w:rPr>
          <w:rFonts w:hint="eastAsia" w:ascii="微软雅黑" w:hAnsi="微软雅黑" w:eastAsia="微软雅黑" w:cs="微软雅黑"/>
          <w:szCs w:val="21"/>
        </w:rPr>
        <w:t>团簇表面硫位点的强吸附作用及</w:t>
      </w:r>
      <w:r>
        <w:rPr>
          <w:rFonts w:ascii="微软雅黑" w:hAnsi="微软雅黑" w:eastAsia="微软雅黑" w:cs="微软雅黑"/>
          <w:szCs w:val="21"/>
        </w:rPr>
        <w:t>H</w:t>
      </w:r>
      <w:r>
        <w:rPr>
          <w:rFonts w:hint="eastAsia" w:ascii="微软雅黑" w:hAnsi="微软雅黑" w:eastAsia="微软雅黑" w:cs="微软雅黑"/>
          <w:szCs w:val="21"/>
        </w:rPr>
        <w:t>物种的稳定存在。该多维度验证策略为反应机制提供直接证据。</w:t>
      </w:r>
    </w:p>
    <w:p w14:paraId="62829E91">
      <w:pPr>
        <w:pStyle w:val="16"/>
        <w:numPr>
          <w:ilvl w:val="0"/>
          <w:numId w:val="1"/>
        </w:numPr>
        <w:ind w:firstLineChars="0"/>
        <w:rPr>
          <w:rFonts w:hint="eastAsia" w:ascii="微软雅黑" w:hAnsi="微软雅黑" w:eastAsia="微软雅黑" w:cs="微软雅黑"/>
          <w:szCs w:val="21"/>
        </w:rPr>
      </w:pPr>
      <w:r>
        <w:rPr>
          <w:rFonts w:hint="eastAsia" w:ascii="微软雅黑" w:hAnsi="微软雅黑" w:eastAsia="微软雅黑" w:cs="微软雅黑"/>
          <w:szCs w:val="21"/>
        </w:rPr>
        <w:t>该催化体系展现出优异的底物普适性与合成应用潜力，在实现多种芳香胺高效自偶联的基础上，通过精准调控底物氧化电位差异，成功拓展至交叉偶联合成不对称仲胺，,并成功合成药物西那卡塞，证实了该体系在药物分子模块化合成中的重大应用价值。</w:t>
      </w:r>
    </w:p>
    <w:p w14:paraId="44ED2852">
      <w:pPr>
        <w:pStyle w:val="16"/>
        <w:spacing w:line="360" w:lineRule="auto"/>
        <w:ind w:left="375"/>
        <w:rPr>
          <w:rFonts w:hint="eastAsia" w:ascii="微软雅黑" w:hAnsi="微软雅黑" w:eastAsia="微软雅黑" w:cs="微软雅黑"/>
          <w:szCs w:val="21"/>
        </w:rPr>
      </w:pPr>
      <w:r>
        <w:rPr>
          <w:rFonts w:hint="eastAsia" w:ascii="微软雅黑" w:hAnsi="微软雅黑" w:eastAsia="微软雅黑" w:cs="微软雅黑"/>
          <w:szCs w:val="21"/>
        </w:rPr>
        <w:t>"双协同"S型异质结创新设计理念为开发高效氧化还原级联反应体系提供了新视角，具有重要科学意义和广泛应用前景。该成果以“</w:t>
      </w:r>
      <w:r>
        <w:rPr>
          <w:rFonts w:ascii="微软雅黑" w:hAnsi="微软雅黑" w:eastAsia="微软雅黑" w:cs="微软雅黑"/>
          <w:szCs w:val="21"/>
        </w:rPr>
        <w:t>Dual-Synergistic S-Scheme Heterojunction for Targeting Dibenzylamine via Cascade Photoredox Catalysis of Benzylamine</w:t>
      </w:r>
      <w:r>
        <w:rPr>
          <w:rFonts w:hint="eastAsia" w:ascii="微软雅黑" w:hAnsi="微软雅黑" w:eastAsia="微软雅黑" w:cs="微软雅黑"/>
          <w:szCs w:val="21"/>
        </w:rPr>
        <w:t>”为题，发表在国际权威期刊《Angewandte Chemie International Edition》上（IF = 16.5）。博士研究生陈朝丽和刘家星为论文第一作者，</w:t>
      </w:r>
      <w:r>
        <w:rPr>
          <w:rFonts w:hint="eastAsia" w:ascii="微软雅黑" w:hAnsi="微软雅黑" w:eastAsia="微软雅黑" w:cs="Malgun Gothic Semilight"/>
          <w:szCs w:val="21"/>
        </w:rPr>
        <w:t>吴涛</w:t>
      </w:r>
      <w:r>
        <w:rPr>
          <w:rFonts w:hint="eastAsia" w:ascii="微软雅黑" w:hAnsi="微软雅黑" w:eastAsia="微软雅黑" w:cs="微软雅黑"/>
          <w:szCs w:val="21"/>
        </w:rPr>
        <w:t>教授</w:t>
      </w:r>
      <w:r>
        <w:rPr>
          <w:rFonts w:hint="eastAsia" w:ascii="微软雅黑" w:hAnsi="微软雅黑" w:eastAsia="微软雅黑" w:cs="Malgun Gothic Semilight"/>
          <w:szCs w:val="21"/>
        </w:rPr>
        <w:t>、袁尚富</w:t>
      </w:r>
      <w:r>
        <w:rPr>
          <w:rFonts w:hint="eastAsia" w:ascii="微软雅黑" w:hAnsi="微软雅黑" w:eastAsia="微软雅黑" w:cs="微软雅黑"/>
          <w:szCs w:val="21"/>
        </w:rPr>
        <w:t>教授</w:t>
      </w:r>
      <w:r>
        <w:rPr>
          <w:rFonts w:hint="eastAsia" w:ascii="微软雅黑" w:hAnsi="微软雅黑" w:eastAsia="微软雅黑" w:cs="Malgun Gothic Semilight"/>
          <w:szCs w:val="21"/>
        </w:rPr>
        <w:t>、王冰哲副</w:t>
      </w:r>
      <w:r>
        <w:rPr>
          <w:rFonts w:hint="eastAsia" w:ascii="微软雅黑" w:hAnsi="微软雅黑" w:eastAsia="微软雅黑" w:cs="微软雅黑"/>
          <w:szCs w:val="21"/>
        </w:rPr>
        <w:t>教授为通讯作者，暨南大学为唯一单位。此研究工作得到国家自然科学基金、广州市科技局、暨南大学生物活性分子与成药性优化全国重点实验室等单位的大力支持。</w:t>
      </w:r>
    </w:p>
    <w:p w14:paraId="2EBDDBEC">
      <w:pPr>
        <w:spacing w:line="360" w:lineRule="auto"/>
        <w:jc w:val="center"/>
        <w:rPr>
          <w:rFonts w:hint="eastAsia" w:ascii="微软雅黑" w:hAnsi="微软雅黑" w:eastAsia="微软雅黑" w:cs="微软雅黑"/>
          <w:b/>
          <w:bCs/>
          <w:szCs w:val="21"/>
        </w:rPr>
      </w:pPr>
      <w:r>
        <w:rPr>
          <w:rFonts w:hint="eastAsia" w:ascii="微软雅黑" w:hAnsi="微软雅黑" w:eastAsia="微软雅黑" w:cs="Malgun Gothic Semilight"/>
          <w:b/>
          <w:bCs/>
          <w:szCs w:val="21"/>
        </w:rPr>
        <w:t>论文链接：</w:t>
      </w:r>
      <w:r>
        <w:rPr>
          <w:rFonts w:ascii="微软雅黑" w:hAnsi="微软雅黑" w:eastAsia="微软雅黑" w:cs="Malgun Gothic Semilight"/>
          <w:b/>
          <w:bCs/>
          <w:szCs w:val="21"/>
        </w:rPr>
        <w:t>https://onlinelibrary.wiley.com/doi/10.1002/anie.202518681</w:t>
      </w:r>
    </w:p>
    <w:p w14:paraId="50A186BA">
      <w:pPr>
        <w:spacing w:line="360" w:lineRule="auto"/>
        <w:jc w:val="center"/>
        <w:rPr>
          <w:rFonts w:hint="eastAsia" w:ascii="微软雅黑" w:hAnsi="微软雅黑" w:eastAsia="微软雅黑" w:cs="Malgun Gothic Semilight"/>
          <w:b/>
          <w:bCs/>
          <w:szCs w:val="21"/>
        </w:rPr>
      </w:pPr>
      <w:r>
        <w:rPr>
          <w:rFonts w:hint="eastAsia" w:ascii="微软雅黑" w:hAnsi="微软雅黑" w:eastAsia="微软雅黑" w:cs="Malgun Gothic Semilight"/>
          <w:b/>
          <w:bCs/>
          <w:szCs w:val="21"/>
        </w:rPr>
        <w:drawing>
          <wp:inline distT="0" distB="0" distL="0" distR="0">
            <wp:extent cx="5219700" cy="6404610"/>
            <wp:effectExtent l="0" t="0" r="0" b="0"/>
            <wp:docPr id="1016411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11666"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20000" cy="6404858"/>
                    </a:xfrm>
                    <a:prstGeom prst="rect">
                      <a:avLst/>
                    </a:prstGeom>
                    <a:noFill/>
                  </pic:spPr>
                </pic:pic>
              </a:graphicData>
            </a:graphic>
          </wp:inline>
        </w:drawing>
      </w:r>
    </w:p>
    <w:p w14:paraId="0CCA6F6E">
      <w:pPr>
        <w:spacing w:line="360" w:lineRule="auto"/>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t xml:space="preserve">示意图1. a BA至DBA氧化还原级联转化的挑战与策略。b 级联BA转化过程中能垒演化的示意图。c T4-CdCu/ZIS S型异质结的内外双重协同光催化策略。 </w:t>
      </w:r>
    </w:p>
    <w:p w14:paraId="371B7C4B">
      <w:pPr>
        <w:spacing w:line="360" w:lineRule="auto"/>
        <w:jc w:val="center"/>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drawing>
          <wp:inline distT="0" distB="0" distL="0" distR="0">
            <wp:extent cx="5219700" cy="3281045"/>
            <wp:effectExtent l="0" t="0" r="0" b="0"/>
            <wp:docPr id="17251846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84666"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20000" cy="3281133"/>
                    </a:xfrm>
                    <a:prstGeom prst="rect">
                      <a:avLst/>
                    </a:prstGeom>
                    <a:noFill/>
                  </pic:spPr>
                </pic:pic>
              </a:graphicData>
            </a:graphic>
          </wp:inline>
        </w:drawing>
      </w:r>
    </w:p>
    <w:p w14:paraId="470C964E">
      <w:pPr>
        <w:spacing w:line="360" w:lineRule="auto"/>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t xml:space="preserve">图1. </w:t>
      </w:r>
      <w:r>
        <w:rPr>
          <w:rFonts w:hint="eastAsia" w:ascii="微软雅黑" w:hAnsi="微软雅黑" w:eastAsia="微软雅黑" w:cs="Malgun Gothic Semilight"/>
          <w:color w:val="808080" w:themeColor="background1" w:themeShade="80"/>
          <w:szCs w:val="21"/>
          <w:lang w:val="en-US" w:eastAsia="zh-CN"/>
        </w:rPr>
        <w:t xml:space="preserve">a </w:t>
      </w:r>
      <w:r>
        <w:rPr>
          <w:rFonts w:hint="eastAsia" w:ascii="微软雅黑" w:hAnsi="微软雅黑" w:eastAsia="微软雅黑" w:cs="Malgun Gothic Semilight"/>
          <w:color w:val="808080" w:themeColor="background1" w:themeShade="80"/>
          <w:szCs w:val="21"/>
        </w:rPr>
        <w:t>T4-CdCu/ZIS的a TEM图像</w:t>
      </w:r>
      <w:r>
        <w:rPr>
          <w:rFonts w:hint="eastAsia" w:ascii="微软雅黑" w:hAnsi="微软雅黑" w:eastAsia="微软雅黑" w:cs="Malgun Gothic Semilight"/>
          <w:color w:val="808080" w:themeColor="background1" w:themeShade="80"/>
          <w:szCs w:val="21"/>
          <w:lang w:eastAsia="zh-CN"/>
        </w:rPr>
        <w:t>。</w:t>
      </w:r>
      <w:r>
        <w:rPr>
          <w:rFonts w:hint="eastAsia" w:ascii="微软雅黑" w:hAnsi="微软雅黑" w:eastAsia="微软雅黑" w:cs="Malgun Gothic Semilight"/>
          <w:color w:val="808080" w:themeColor="background1" w:themeShade="80"/>
          <w:szCs w:val="21"/>
        </w:rPr>
        <w:t>b HR-TEM图像</w:t>
      </w:r>
      <w:r>
        <w:rPr>
          <w:rFonts w:hint="eastAsia" w:ascii="微软雅黑" w:hAnsi="微软雅黑" w:eastAsia="微软雅黑" w:cs="Malgun Gothic Semilight"/>
          <w:color w:val="808080" w:themeColor="background1" w:themeShade="80"/>
          <w:szCs w:val="21"/>
          <w:lang w:eastAsia="zh-CN"/>
        </w:rPr>
        <w:t>。</w:t>
      </w:r>
      <w:r>
        <w:rPr>
          <w:rFonts w:hint="eastAsia" w:ascii="微软雅黑" w:hAnsi="微软雅黑" w:eastAsia="微软雅黑" w:cs="Malgun Gothic Semilight"/>
          <w:color w:val="808080" w:themeColor="background1" w:themeShade="80"/>
          <w:szCs w:val="21"/>
        </w:rPr>
        <w:t>c HAADF-STEM图像和元素分布图</w:t>
      </w:r>
      <w:r>
        <w:rPr>
          <w:rFonts w:hint="eastAsia" w:ascii="微软雅黑" w:hAnsi="微软雅黑" w:eastAsia="微软雅黑" w:cs="Malgun Gothic Semilight"/>
          <w:color w:val="808080" w:themeColor="background1" w:themeShade="80"/>
          <w:szCs w:val="21"/>
          <w:lang w:eastAsia="zh-CN"/>
        </w:rPr>
        <w:t>。</w:t>
      </w:r>
      <w:r>
        <w:rPr>
          <w:rFonts w:hint="eastAsia" w:ascii="微软雅黑" w:hAnsi="微软雅黑" w:eastAsia="微软雅黑" w:cs="Malgun Gothic Semilight"/>
          <w:color w:val="808080" w:themeColor="background1" w:themeShade="80"/>
          <w:szCs w:val="21"/>
        </w:rPr>
        <w:t>d ZIS和T4-CdCu/ZIS的PXRD图谱</w:t>
      </w:r>
      <w:r>
        <w:rPr>
          <w:rFonts w:hint="eastAsia" w:ascii="微软雅黑" w:hAnsi="微软雅黑" w:eastAsia="微软雅黑" w:cs="Malgun Gothic Semilight"/>
          <w:color w:val="808080" w:themeColor="background1" w:themeShade="80"/>
          <w:szCs w:val="21"/>
          <w:lang w:eastAsia="zh-CN"/>
        </w:rPr>
        <w:t>。</w:t>
      </w:r>
      <w:r>
        <w:rPr>
          <w:rFonts w:hint="eastAsia" w:ascii="微软雅黑" w:hAnsi="微软雅黑" w:eastAsia="微软雅黑" w:cs="Malgun Gothic Semilight"/>
          <w:color w:val="808080" w:themeColor="background1" w:themeShade="80"/>
          <w:szCs w:val="21"/>
        </w:rPr>
        <w:t>e T4-CdCu和T4-CdCu/ZIS的高分辨率Cd 3d XPS光谱</w:t>
      </w:r>
      <w:r>
        <w:rPr>
          <w:rFonts w:hint="eastAsia" w:ascii="微软雅黑" w:hAnsi="微软雅黑" w:eastAsia="微软雅黑" w:cs="Malgun Gothic Semilight"/>
          <w:color w:val="808080" w:themeColor="background1" w:themeShade="80"/>
          <w:szCs w:val="21"/>
          <w:lang w:eastAsia="zh-CN"/>
        </w:rPr>
        <w:t>。</w:t>
      </w:r>
      <w:r>
        <w:rPr>
          <w:rFonts w:hint="eastAsia" w:ascii="微软雅黑" w:hAnsi="微软雅黑" w:eastAsia="微软雅黑" w:cs="Malgun Gothic Semilight"/>
          <w:color w:val="808080" w:themeColor="background1" w:themeShade="80"/>
          <w:szCs w:val="21"/>
        </w:rPr>
        <w:t>f 暗/光条件下ZIS和T4-CdCu/ZIS的Zn 2p XPS光谱。</w:t>
      </w:r>
      <w:bookmarkStart w:id="3" w:name="_GoBack"/>
      <w:bookmarkEnd w:id="3"/>
      <w:bookmarkStart w:id="2" w:name="OLE_LINK1"/>
    </w:p>
    <w:bookmarkEnd w:id="2"/>
    <w:p w14:paraId="0867E207">
      <w:pPr>
        <w:spacing w:line="360" w:lineRule="auto"/>
        <w:jc w:val="center"/>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drawing>
          <wp:inline distT="0" distB="0" distL="0" distR="0">
            <wp:extent cx="5219700" cy="3441065"/>
            <wp:effectExtent l="0" t="0" r="0" b="6985"/>
            <wp:docPr id="6634729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72949"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20000" cy="3441068"/>
                    </a:xfrm>
                    <a:prstGeom prst="rect">
                      <a:avLst/>
                    </a:prstGeom>
                    <a:noFill/>
                  </pic:spPr>
                </pic:pic>
              </a:graphicData>
            </a:graphic>
          </wp:inline>
        </w:drawing>
      </w:r>
    </w:p>
    <w:p w14:paraId="1F3FC47B">
      <w:pPr>
        <w:spacing w:line="360" w:lineRule="auto"/>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t>图2. a T4-CdCu和ZIS的优化结构。接触前ZIS和T4-CdCu的费米能级和能带结构示意图。b T4-CdCu/ZIS界面在紧密接触时的电荷密度差和T4-CdCu/ZIS异质结中的内建电场。c 光激发下S型异质结的电荷转移机制。红色和蓝色等值面分别代表电荷积累和电荷耗尽。</w:t>
      </w:r>
    </w:p>
    <w:p w14:paraId="5E24FF1D">
      <w:pPr>
        <w:spacing w:line="360" w:lineRule="auto"/>
        <w:jc w:val="center"/>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drawing>
          <wp:inline distT="0" distB="0" distL="0" distR="0">
            <wp:extent cx="5219700" cy="4542155"/>
            <wp:effectExtent l="0" t="0" r="0" b="0"/>
            <wp:docPr id="2007003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03913" name="图片 1"/>
                    <pic:cNvPicPr>
                      <a:picLocks noChangeAspect="1" noChangeArrowheads="1"/>
                    </pic:cNvPicPr>
                  </pic:nvPicPr>
                  <pic:blipFill>
                    <a:blip r:embed="rId7">
                      <a:extLst>
                        <a:ext uri="{28A0092B-C50C-407E-A947-70E740481C1C}">
                          <a14:useLocalDpi xmlns:a14="http://schemas.microsoft.com/office/drawing/2010/main" val="0"/>
                        </a:ext>
                      </a:extLst>
                    </a:blip>
                    <a:srcRect r="6468"/>
                    <a:stretch>
                      <a:fillRect/>
                    </a:stretch>
                  </pic:blipFill>
                  <pic:spPr>
                    <a:xfrm>
                      <a:off x="0" y="0"/>
                      <a:ext cx="5220000" cy="4542722"/>
                    </a:xfrm>
                    <a:prstGeom prst="rect">
                      <a:avLst/>
                    </a:prstGeom>
                    <a:noFill/>
                    <a:ln>
                      <a:noFill/>
                    </a:ln>
                  </pic:spPr>
                </pic:pic>
              </a:graphicData>
            </a:graphic>
          </wp:inline>
        </w:drawing>
      </w:r>
    </w:p>
    <w:p w14:paraId="21726FB0">
      <w:pPr>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t>图3. a T4-CdCu/ZIS在不同时间延迟下记录的340 nm激发瞬态吸收结果。b T4-CdCu/ZIS的物种相关光谱，展示了电荷分离态的形成。c T4-CdCu/ZIS的布居动力学，显示了快速的电荷分离和长寿命的CSS。CR：电荷复合。d 提出的S型电荷转移机制。</w:t>
      </w:r>
    </w:p>
    <w:p w14:paraId="7A334073">
      <w:pPr>
        <w:spacing w:line="360" w:lineRule="auto"/>
        <w:jc w:val="center"/>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drawing>
          <wp:inline distT="0" distB="0" distL="0" distR="0">
            <wp:extent cx="5219700" cy="4766310"/>
            <wp:effectExtent l="0" t="0" r="0" b="0"/>
            <wp:docPr id="7908396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39683"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20000" cy="4766489"/>
                    </a:xfrm>
                    <a:prstGeom prst="rect">
                      <a:avLst/>
                    </a:prstGeom>
                    <a:noFill/>
                  </pic:spPr>
                </pic:pic>
              </a:graphicData>
            </a:graphic>
          </wp:inline>
        </w:drawing>
      </w:r>
    </w:p>
    <w:p w14:paraId="3845B18F">
      <w:pPr>
        <w:spacing w:line="360" w:lineRule="auto"/>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t>图</w:t>
      </w:r>
      <w:r>
        <w:rPr>
          <w:rFonts w:ascii="微软雅黑" w:hAnsi="微软雅黑" w:eastAsia="微软雅黑" w:cs="Malgun Gothic Semilight"/>
          <w:color w:val="808080" w:themeColor="background1" w:themeShade="80"/>
          <w:szCs w:val="21"/>
        </w:rPr>
        <w:t>4. a CO</w:t>
      </w:r>
      <w:r>
        <w:rPr>
          <w:rFonts w:ascii="Cambria Math" w:hAnsi="Cambria Math" w:eastAsia="微软雅黑" w:cs="Cambria Math"/>
          <w:color w:val="808080" w:themeColor="background1" w:themeShade="80"/>
          <w:szCs w:val="21"/>
        </w:rPr>
        <w:t>₂</w:t>
      </w:r>
      <w:r>
        <w:rPr>
          <w:rFonts w:hint="eastAsia" w:ascii="微软雅黑" w:hAnsi="微软雅黑" w:eastAsia="微软雅黑" w:cs="Malgun Gothic Semilight"/>
          <w:color w:val="808080" w:themeColor="background1" w:themeShade="80"/>
          <w:szCs w:val="21"/>
        </w:rPr>
        <w:t>气氛下乙腈和</w:t>
      </w:r>
      <w:r>
        <w:rPr>
          <w:rFonts w:ascii="微软雅黑" w:hAnsi="微软雅黑" w:eastAsia="微软雅黑" w:cs="Malgun Gothic Semilight"/>
          <w:color w:val="808080" w:themeColor="background1" w:themeShade="80"/>
          <w:szCs w:val="21"/>
        </w:rPr>
        <w:t>H</w:t>
      </w:r>
      <w:r>
        <w:rPr>
          <w:rFonts w:ascii="Cambria Math" w:hAnsi="Cambria Math" w:eastAsia="微软雅黑" w:cs="Cambria Math"/>
          <w:color w:val="808080" w:themeColor="background1" w:themeShade="80"/>
          <w:szCs w:val="21"/>
        </w:rPr>
        <w:t>₂</w:t>
      </w:r>
      <w:r>
        <w:rPr>
          <w:rFonts w:ascii="微软雅黑" w:hAnsi="微软雅黑" w:eastAsia="微软雅黑" w:cs="Malgun Gothic Semilight"/>
          <w:color w:val="808080" w:themeColor="background1" w:themeShade="80"/>
          <w:szCs w:val="21"/>
        </w:rPr>
        <w:t>O</w:t>
      </w:r>
      <w:r>
        <w:rPr>
          <w:rFonts w:hint="eastAsia" w:ascii="微软雅黑" w:hAnsi="微软雅黑" w:eastAsia="微软雅黑" w:cs="Malgun Gothic Semilight"/>
          <w:color w:val="808080" w:themeColor="background1" w:themeShade="80"/>
          <w:szCs w:val="21"/>
        </w:rPr>
        <w:t>中</w:t>
      </w:r>
      <w:r>
        <w:rPr>
          <w:rFonts w:ascii="微软雅黑" w:hAnsi="微软雅黑" w:eastAsia="微软雅黑" w:cs="Malgun Gothic Semilight"/>
          <w:color w:val="808080" w:themeColor="background1" w:themeShade="80"/>
          <w:szCs w:val="21"/>
        </w:rPr>
        <w:t>BA</w:t>
      </w:r>
      <w:r>
        <w:rPr>
          <w:rFonts w:hint="eastAsia" w:ascii="微软雅黑" w:hAnsi="微软雅黑" w:eastAsia="微软雅黑" w:cs="Malgun Gothic Semilight"/>
          <w:color w:val="808080" w:themeColor="background1" w:themeShade="80"/>
          <w:szCs w:val="21"/>
        </w:rPr>
        <w:t>的氧化还原级联反应。</w:t>
      </w:r>
      <w:r>
        <w:rPr>
          <w:rFonts w:ascii="微软雅黑" w:hAnsi="微软雅黑" w:eastAsia="微软雅黑" w:cs="Malgun Gothic Semilight"/>
          <w:color w:val="808080" w:themeColor="background1" w:themeShade="80"/>
          <w:szCs w:val="21"/>
        </w:rPr>
        <w:t xml:space="preserve">b </w:t>
      </w:r>
      <w:r>
        <w:rPr>
          <w:rFonts w:hint="eastAsia" w:ascii="微软雅黑" w:hAnsi="微软雅黑" w:eastAsia="微软雅黑" w:cs="Malgun Gothic Semilight"/>
          <w:color w:val="808080" w:themeColor="background1" w:themeShade="80"/>
          <w:szCs w:val="21"/>
        </w:rPr>
        <w:t>在有或无催化剂的情况下，光催化</w:t>
      </w:r>
      <w:r>
        <w:rPr>
          <w:rFonts w:ascii="微软雅黑" w:hAnsi="微软雅黑" w:eastAsia="微软雅黑" w:cs="Malgun Gothic Semilight"/>
          <w:color w:val="808080" w:themeColor="background1" w:themeShade="80"/>
          <w:szCs w:val="21"/>
        </w:rPr>
        <w:t>CO</w:t>
      </w:r>
      <w:r>
        <w:rPr>
          <w:rFonts w:ascii="Cambria Math" w:hAnsi="Cambria Math" w:eastAsia="微软雅黑" w:cs="Cambria Math"/>
          <w:color w:val="808080" w:themeColor="background1" w:themeShade="80"/>
          <w:szCs w:val="21"/>
        </w:rPr>
        <w:t>₂</w:t>
      </w:r>
      <w:r>
        <w:rPr>
          <w:rFonts w:hint="eastAsia" w:ascii="微软雅黑" w:hAnsi="微软雅黑" w:eastAsia="微软雅黑" w:cs="Malgun Gothic Semilight"/>
          <w:color w:val="808080" w:themeColor="background1" w:themeShade="80"/>
          <w:szCs w:val="21"/>
        </w:rPr>
        <w:t>还原偶联</w:t>
      </w:r>
      <w:r>
        <w:rPr>
          <w:rFonts w:ascii="微软雅黑" w:hAnsi="微软雅黑" w:eastAsia="微软雅黑" w:cs="Malgun Gothic Semilight"/>
          <w:color w:val="808080" w:themeColor="background1" w:themeShade="80"/>
          <w:szCs w:val="21"/>
        </w:rPr>
        <w:t>BA</w:t>
      </w:r>
      <w:r>
        <w:rPr>
          <w:rFonts w:hint="eastAsia" w:ascii="微软雅黑" w:hAnsi="微软雅黑" w:eastAsia="微软雅黑" w:cs="Malgun Gothic Semilight"/>
          <w:color w:val="808080" w:themeColor="background1" w:themeShade="80"/>
          <w:szCs w:val="21"/>
        </w:rPr>
        <w:t>氧化的</w:t>
      </w:r>
      <w:r>
        <w:rPr>
          <w:rFonts w:ascii="微软雅黑" w:hAnsi="微软雅黑" w:eastAsia="微软雅黑" w:cs="Malgun Gothic Semilight"/>
          <w:color w:val="808080" w:themeColor="background1" w:themeShade="80"/>
          <w:szCs w:val="21"/>
        </w:rPr>
        <w:t>BA</w:t>
      </w:r>
      <w:r>
        <w:rPr>
          <w:rFonts w:hint="eastAsia" w:ascii="微软雅黑" w:hAnsi="微软雅黑" w:eastAsia="微软雅黑" w:cs="Malgun Gothic Semilight"/>
          <w:color w:val="808080" w:themeColor="background1" w:themeShade="80"/>
          <w:szCs w:val="21"/>
        </w:rPr>
        <w:t>转化率和</w:t>
      </w:r>
      <w:r>
        <w:rPr>
          <w:rFonts w:ascii="微软雅黑" w:hAnsi="微软雅黑" w:eastAsia="微软雅黑" w:cs="Malgun Gothic Semilight"/>
          <w:color w:val="808080" w:themeColor="background1" w:themeShade="80"/>
          <w:szCs w:val="21"/>
        </w:rPr>
        <w:t>BDA/BBAD</w:t>
      </w:r>
      <w:r>
        <w:rPr>
          <w:rFonts w:hint="eastAsia" w:ascii="微软雅黑" w:hAnsi="微软雅黑" w:eastAsia="微软雅黑" w:cs="Malgun Gothic Semilight"/>
          <w:color w:val="808080" w:themeColor="background1" w:themeShade="80"/>
          <w:szCs w:val="21"/>
        </w:rPr>
        <w:t>产率（λ</w:t>
      </w:r>
      <w:r>
        <w:rPr>
          <w:rFonts w:ascii="微软雅黑" w:hAnsi="微软雅黑" w:eastAsia="微软雅黑" w:cs="Malgun Gothic Semilight"/>
          <w:color w:val="808080" w:themeColor="background1" w:themeShade="80"/>
          <w:szCs w:val="21"/>
        </w:rPr>
        <w:t xml:space="preserve"> &gt;420 nm, 24 h</w:t>
      </w:r>
      <w:r>
        <w:rPr>
          <w:rFonts w:hint="eastAsia" w:ascii="微软雅黑" w:hAnsi="微软雅黑" w:eastAsia="微软雅黑" w:cs="Malgun Gothic Semilight"/>
          <w:color w:val="808080" w:themeColor="background1" w:themeShade="80"/>
          <w:szCs w:val="21"/>
        </w:rPr>
        <w:t>）。</w:t>
      </w:r>
      <w:r>
        <w:rPr>
          <w:rFonts w:ascii="微软雅黑" w:hAnsi="微软雅黑" w:eastAsia="微软雅黑" w:cs="Malgun Gothic Semilight"/>
          <w:color w:val="808080" w:themeColor="background1" w:themeShade="80"/>
          <w:szCs w:val="21"/>
        </w:rPr>
        <w:t xml:space="preserve">c </w:t>
      </w:r>
      <w:r>
        <w:rPr>
          <w:rFonts w:hint="eastAsia" w:ascii="微软雅黑" w:hAnsi="微软雅黑" w:eastAsia="微软雅黑" w:cs="Malgun Gothic Semilight"/>
          <w:color w:val="808080" w:themeColor="background1" w:themeShade="80"/>
          <w:szCs w:val="21"/>
        </w:rPr>
        <w:t>不同反应条件下的光催化性能。</w:t>
      </w:r>
      <w:r>
        <w:rPr>
          <w:rFonts w:ascii="微软雅黑" w:hAnsi="微软雅黑" w:eastAsia="微软雅黑" w:cs="Malgun Gothic Semilight"/>
          <w:color w:val="808080" w:themeColor="background1" w:themeShade="80"/>
          <w:szCs w:val="21"/>
        </w:rPr>
        <w:t>d T4-CdCu/ZIS</w:t>
      </w:r>
      <w:r>
        <w:rPr>
          <w:rFonts w:hint="eastAsia" w:ascii="微软雅黑" w:hAnsi="微软雅黑" w:eastAsia="微软雅黑" w:cs="Malgun Gothic Semilight"/>
          <w:color w:val="808080" w:themeColor="background1" w:themeShade="80"/>
          <w:szCs w:val="21"/>
        </w:rPr>
        <w:t>上的时间依赖性分析。</w:t>
      </w:r>
      <w:r>
        <w:rPr>
          <w:rFonts w:ascii="微软雅黑" w:hAnsi="微软雅黑" w:eastAsia="微软雅黑" w:cs="Malgun Gothic Semilight"/>
          <w:color w:val="808080" w:themeColor="background1" w:themeShade="80"/>
          <w:szCs w:val="21"/>
        </w:rPr>
        <w:t>e T4-CdCu/ZIS</w:t>
      </w:r>
      <w:r>
        <w:rPr>
          <w:rFonts w:hint="eastAsia" w:ascii="微软雅黑" w:hAnsi="微软雅黑" w:eastAsia="微软雅黑" w:cs="Malgun Gothic Semilight"/>
          <w:color w:val="808080" w:themeColor="background1" w:themeShade="80"/>
          <w:szCs w:val="21"/>
        </w:rPr>
        <w:t>的</w:t>
      </w:r>
      <w:r>
        <w:rPr>
          <w:rFonts w:ascii="微软雅黑" w:hAnsi="微软雅黑" w:eastAsia="微软雅黑" w:cs="Malgun Gothic Semilight"/>
          <w:color w:val="808080" w:themeColor="background1" w:themeShade="80"/>
          <w:szCs w:val="21"/>
        </w:rPr>
        <w:t>DBA</w:t>
      </w:r>
      <w:r>
        <w:rPr>
          <w:rFonts w:hint="eastAsia" w:ascii="微软雅黑" w:hAnsi="微软雅黑" w:eastAsia="微软雅黑" w:cs="Malgun Gothic Semilight"/>
          <w:color w:val="808080" w:themeColor="background1" w:themeShade="80"/>
          <w:szCs w:val="21"/>
        </w:rPr>
        <w:t>产率与报道的热催化剂和光催化剂的比较。</w:t>
      </w:r>
    </w:p>
    <w:p w14:paraId="056B942E">
      <w:pPr>
        <w:spacing w:line="360" w:lineRule="auto"/>
        <w:jc w:val="center"/>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drawing>
          <wp:inline distT="0" distB="0" distL="0" distR="0">
            <wp:extent cx="5219700" cy="4832985"/>
            <wp:effectExtent l="0" t="0" r="0" b="5715"/>
            <wp:docPr id="6272566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56667"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20000" cy="4833370"/>
                    </a:xfrm>
                    <a:prstGeom prst="rect">
                      <a:avLst/>
                    </a:prstGeom>
                    <a:noFill/>
                  </pic:spPr>
                </pic:pic>
              </a:graphicData>
            </a:graphic>
          </wp:inline>
        </w:drawing>
      </w:r>
    </w:p>
    <w:p w14:paraId="28C758B8">
      <w:pPr>
        <w:spacing w:line="360" w:lineRule="auto"/>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t>图</w:t>
      </w:r>
      <w:r>
        <w:rPr>
          <w:rFonts w:ascii="微软雅黑" w:hAnsi="微软雅黑" w:eastAsia="微软雅黑" w:cs="Malgun Gothic Semilight"/>
          <w:color w:val="808080" w:themeColor="background1" w:themeShade="80"/>
          <w:szCs w:val="21"/>
        </w:rPr>
        <w:t>5. a T4-CdCu/ZIS</w:t>
      </w:r>
      <w:r>
        <w:rPr>
          <w:rFonts w:hint="eastAsia" w:ascii="微软雅黑" w:hAnsi="微软雅黑" w:eastAsia="微软雅黑" w:cs="Malgun Gothic Semilight"/>
          <w:color w:val="808080" w:themeColor="background1" w:themeShade="80"/>
          <w:szCs w:val="21"/>
        </w:rPr>
        <w:t>与</w:t>
      </w:r>
      <w:r>
        <w:rPr>
          <w:rFonts w:ascii="微软雅黑" w:hAnsi="微软雅黑" w:eastAsia="微软雅黑" w:cs="Malgun Gothic Semilight"/>
          <w:color w:val="808080" w:themeColor="background1" w:themeShade="80"/>
          <w:szCs w:val="21"/>
        </w:rPr>
        <w:t>BA</w:t>
      </w:r>
      <w:r>
        <w:rPr>
          <w:rFonts w:hint="eastAsia" w:ascii="微软雅黑" w:hAnsi="微软雅黑" w:eastAsia="微软雅黑" w:cs="Malgun Gothic Semilight"/>
          <w:color w:val="808080" w:themeColor="background1" w:themeShade="80"/>
          <w:szCs w:val="21"/>
        </w:rPr>
        <w:t>和</w:t>
      </w:r>
      <w:r>
        <w:rPr>
          <w:rFonts w:ascii="微软雅黑" w:hAnsi="微软雅黑" w:eastAsia="微软雅黑" w:cs="Malgun Gothic Semilight"/>
          <w:color w:val="808080" w:themeColor="background1" w:themeShade="80"/>
          <w:szCs w:val="21"/>
        </w:rPr>
        <w:t>BBAD</w:t>
      </w:r>
      <w:r>
        <w:rPr>
          <w:rFonts w:hint="eastAsia" w:ascii="微软雅黑" w:hAnsi="微软雅黑" w:eastAsia="微软雅黑" w:cs="Malgun Gothic Semilight"/>
          <w:color w:val="808080" w:themeColor="background1" w:themeShade="80"/>
          <w:szCs w:val="21"/>
        </w:rPr>
        <w:t>的能级对齐。</w:t>
      </w:r>
      <w:r>
        <w:rPr>
          <w:rFonts w:ascii="微软雅黑" w:hAnsi="微软雅黑" w:eastAsia="微软雅黑" w:cs="Malgun Gothic Semilight"/>
          <w:color w:val="808080" w:themeColor="background1" w:themeShade="80"/>
          <w:szCs w:val="21"/>
        </w:rPr>
        <w:t>b ZIS</w:t>
      </w:r>
      <w:r>
        <w:rPr>
          <w:rFonts w:hint="eastAsia" w:ascii="微软雅黑" w:hAnsi="微软雅黑" w:eastAsia="微软雅黑" w:cs="Malgun Gothic Semilight"/>
          <w:color w:val="808080" w:themeColor="background1" w:themeShade="80"/>
          <w:szCs w:val="21"/>
        </w:rPr>
        <w:t>和</w:t>
      </w:r>
      <w:r>
        <w:rPr>
          <w:rFonts w:ascii="微软雅黑" w:hAnsi="微软雅黑" w:eastAsia="微软雅黑" w:cs="Malgun Gothic Semilight"/>
          <w:color w:val="808080" w:themeColor="background1" w:themeShade="80"/>
          <w:szCs w:val="21"/>
        </w:rPr>
        <w:t>T4-CdCu/ZIS</w:t>
      </w:r>
      <w:r>
        <w:rPr>
          <w:rFonts w:hint="eastAsia" w:ascii="微软雅黑" w:hAnsi="微软雅黑" w:eastAsia="微软雅黑" w:cs="Malgun Gothic Semilight"/>
          <w:color w:val="808080" w:themeColor="background1" w:themeShade="80"/>
          <w:szCs w:val="21"/>
        </w:rPr>
        <w:t>上</w:t>
      </w:r>
      <w:r>
        <w:rPr>
          <w:rFonts w:ascii="微软雅黑" w:hAnsi="微软雅黑" w:eastAsia="微软雅黑" w:cs="Malgun Gothic Semilight"/>
          <w:color w:val="808080" w:themeColor="background1" w:themeShade="80"/>
          <w:szCs w:val="21"/>
        </w:rPr>
        <w:t>DDAB</w:t>
      </w:r>
      <w:r>
        <w:rPr>
          <w:rFonts w:hint="eastAsia" w:ascii="微软雅黑" w:hAnsi="微软雅黑" w:eastAsia="微软雅黑" w:cs="Malgun Gothic Semilight"/>
          <w:color w:val="808080" w:themeColor="background1" w:themeShade="80"/>
          <w:szCs w:val="21"/>
        </w:rPr>
        <w:t>吸附的</w:t>
      </w:r>
      <w:r>
        <w:rPr>
          <w:rFonts w:ascii="微软雅黑" w:hAnsi="微软雅黑" w:eastAsia="微软雅黑" w:cs="Malgun Gothic Semilight"/>
          <w:color w:val="808080" w:themeColor="background1" w:themeShade="80"/>
          <w:szCs w:val="21"/>
        </w:rPr>
        <w:t>TPD</w:t>
      </w:r>
      <w:r>
        <w:rPr>
          <w:rFonts w:hint="eastAsia" w:ascii="微软雅黑" w:hAnsi="微软雅黑" w:eastAsia="微软雅黑" w:cs="Malgun Gothic Semilight"/>
          <w:color w:val="808080" w:themeColor="background1" w:themeShade="80"/>
          <w:szCs w:val="21"/>
        </w:rPr>
        <w:t>谱图。</w:t>
      </w:r>
      <w:r>
        <w:rPr>
          <w:rFonts w:ascii="微软雅黑" w:hAnsi="微软雅黑" w:eastAsia="微软雅黑" w:cs="Malgun Gothic Semilight"/>
          <w:color w:val="808080" w:themeColor="background1" w:themeShade="80"/>
          <w:szCs w:val="21"/>
        </w:rPr>
        <w:t>c ZIS</w:t>
      </w:r>
      <w:r>
        <w:rPr>
          <w:rFonts w:hint="eastAsia" w:ascii="微软雅黑" w:hAnsi="微软雅黑" w:eastAsia="微软雅黑" w:cs="Malgun Gothic Semilight"/>
          <w:color w:val="808080" w:themeColor="background1" w:themeShade="80"/>
          <w:szCs w:val="21"/>
        </w:rPr>
        <w:t>和</w:t>
      </w:r>
      <w:r>
        <w:rPr>
          <w:rFonts w:ascii="微软雅黑" w:hAnsi="微软雅黑" w:eastAsia="微软雅黑" w:cs="Malgun Gothic Semilight"/>
          <w:color w:val="808080" w:themeColor="background1" w:themeShade="80"/>
          <w:szCs w:val="21"/>
        </w:rPr>
        <w:t>T4-CdCu/ZIS</w:t>
      </w:r>
      <w:r>
        <w:rPr>
          <w:rFonts w:hint="eastAsia" w:ascii="微软雅黑" w:hAnsi="微软雅黑" w:eastAsia="微软雅黑" w:cs="Malgun Gothic Semilight"/>
          <w:color w:val="808080" w:themeColor="background1" w:themeShade="80"/>
          <w:szCs w:val="21"/>
        </w:rPr>
        <w:t>在</w:t>
      </w:r>
      <w:r>
        <w:rPr>
          <w:rFonts w:ascii="微软雅黑" w:hAnsi="微软雅黑" w:eastAsia="微软雅黑" w:cs="Malgun Gothic Semilight"/>
          <w:color w:val="808080" w:themeColor="background1" w:themeShade="80"/>
          <w:szCs w:val="21"/>
        </w:rPr>
        <w:t>BA</w:t>
      </w:r>
      <w:r>
        <w:rPr>
          <w:rFonts w:hint="eastAsia" w:ascii="微软雅黑" w:hAnsi="微软雅黑" w:eastAsia="微软雅黑" w:cs="Malgun Gothic Semilight"/>
          <w:color w:val="808080" w:themeColor="background1" w:themeShade="80"/>
          <w:szCs w:val="21"/>
        </w:rPr>
        <w:t>存在下的</w:t>
      </w:r>
      <w:r>
        <w:rPr>
          <w:rFonts w:ascii="微软雅黑" w:hAnsi="微软雅黑" w:eastAsia="微软雅黑" w:cs="Malgun Gothic Semilight"/>
          <w:color w:val="808080" w:themeColor="background1" w:themeShade="80"/>
          <w:szCs w:val="21"/>
        </w:rPr>
        <w:t>EPR</w:t>
      </w:r>
      <w:r>
        <w:rPr>
          <w:rFonts w:hint="eastAsia" w:ascii="微软雅黑" w:hAnsi="微软雅黑" w:eastAsia="微软雅黑" w:cs="Malgun Gothic Semilight"/>
          <w:color w:val="808080" w:themeColor="background1" w:themeShade="80"/>
          <w:szCs w:val="21"/>
        </w:rPr>
        <w:t>光谱（有</w:t>
      </w:r>
      <w:r>
        <w:rPr>
          <w:rFonts w:ascii="微软雅黑" w:hAnsi="微软雅黑" w:eastAsia="微软雅黑" w:cs="Malgun Gothic Semilight"/>
          <w:color w:val="808080" w:themeColor="background1" w:themeShade="80"/>
          <w:szCs w:val="21"/>
        </w:rPr>
        <w:t>/</w:t>
      </w:r>
      <w:r>
        <w:rPr>
          <w:rFonts w:hint="eastAsia" w:ascii="微软雅黑" w:hAnsi="微软雅黑" w:eastAsia="微软雅黑" w:cs="Malgun Gothic Semilight"/>
          <w:color w:val="808080" w:themeColor="background1" w:themeShade="80"/>
          <w:szCs w:val="21"/>
        </w:rPr>
        <w:t>无可见光，λ</w:t>
      </w:r>
      <w:r>
        <w:rPr>
          <w:rFonts w:ascii="微软雅黑" w:hAnsi="微软雅黑" w:eastAsia="微软雅黑" w:cs="Malgun Gothic Semilight"/>
          <w:color w:val="808080" w:themeColor="background1" w:themeShade="80"/>
          <w:szCs w:val="21"/>
        </w:rPr>
        <w:t xml:space="preserve"> &gt;420 nm</w:t>
      </w:r>
      <w:r>
        <w:rPr>
          <w:rFonts w:hint="eastAsia" w:ascii="微软雅黑" w:hAnsi="微软雅黑" w:eastAsia="微软雅黑" w:cs="Malgun Gothic Semilight"/>
          <w:color w:val="808080" w:themeColor="background1" w:themeShade="80"/>
          <w:szCs w:val="21"/>
        </w:rPr>
        <w:t>）。</w:t>
      </w:r>
      <w:r>
        <w:rPr>
          <w:rFonts w:ascii="微软雅黑" w:hAnsi="微软雅黑" w:eastAsia="微软雅黑" w:cs="Malgun Gothic Semilight"/>
          <w:color w:val="808080" w:themeColor="background1" w:themeShade="80"/>
          <w:szCs w:val="21"/>
        </w:rPr>
        <w:t xml:space="preserve">d </w:t>
      </w:r>
      <w:r>
        <w:rPr>
          <w:rFonts w:hint="eastAsia" w:ascii="微软雅黑" w:hAnsi="微软雅黑" w:eastAsia="微软雅黑" w:cs="Malgun Gothic Semilight"/>
          <w:color w:val="808080" w:themeColor="background1" w:themeShade="80"/>
          <w:szCs w:val="21"/>
        </w:rPr>
        <w:t>在光照开启前</w:t>
      </w:r>
      <w:r>
        <w:rPr>
          <w:rFonts w:ascii="微软雅黑" w:hAnsi="微软雅黑" w:eastAsia="微软雅黑" w:cs="Malgun Gothic Semilight"/>
          <w:color w:val="808080" w:themeColor="background1" w:themeShade="80"/>
          <w:szCs w:val="21"/>
        </w:rPr>
        <w:t>5</w:t>
      </w:r>
      <w:r>
        <w:rPr>
          <w:rFonts w:hint="eastAsia" w:ascii="微软雅黑" w:hAnsi="微软雅黑" w:eastAsia="微软雅黑" w:cs="Malgun Gothic Semilight"/>
          <w:color w:val="808080" w:themeColor="background1" w:themeShade="80"/>
          <w:szCs w:val="21"/>
        </w:rPr>
        <w:t>分钟开始，在</w:t>
      </w:r>
      <w:r>
        <w:rPr>
          <w:rFonts w:ascii="微软雅黑" w:hAnsi="微软雅黑" w:eastAsia="微软雅黑" w:cs="Malgun Gothic Semilight"/>
          <w:color w:val="808080" w:themeColor="background1" w:themeShade="80"/>
          <w:szCs w:val="21"/>
        </w:rPr>
        <w:t>CO</w:t>
      </w:r>
      <w:r>
        <w:rPr>
          <w:rFonts w:ascii="Cambria Math" w:hAnsi="Cambria Math" w:eastAsia="微软雅黑" w:cs="Cambria Math"/>
          <w:color w:val="808080" w:themeColor="background1" w:themeShade="80"/>
          <w:szCs w:val="21"/>
        </w:rPr>
        <w:t>₂</w:t>
      </w:r>
      <w:r>
        <w:rPr>
          <w:rFonts w:ascii="微软雅黑" w:hAnsi="微软雅黑" w:eastAsia="微软雅黑" w:cs="Malgun Gothic Semilight"/>
          <w:color w:val="808080" w:themeColor="background1" w:themeShade="80"/>
          <w:szCs w:val="21"/>
        </w:rPr>
        <w:t>/BA/H</w:t>
      </w:r>
      <w:r>
        <w:rPr>
          <w:rFonts w:ascii="Cambria Math" w:hAnsi="Cambria Math" w:eastAsia="微软雅黑" w:cs="Cambria Math"/>
          <w:color w:val="808080" w:themeColor="background1" w:themeShade="80"/>
          <w:szCs w:val="21"/>
        </w:rPr>
        <w:t>₂</w:t>
      </w:r>
      <w:r>
        <w:rPr>
          <w:rFonts w:ascii="微软雅黑" w:hAnsi="微软雅黑" w:eastAsia="微软雅黑" w:cs="Malgun Gothic Semilight"/>
          <w:color w:val="808080" w:themeColor="background1" w:themeShade="80"/>
          <w:szCs w:val="21"/>
        </w:rPr>
        <w:t>O/</w:t>
      </w:r>
      <w:r>
        <w:rPr>
          <w:rFonts w:hint="eastAsia" w:ascii="微软雅黑" w:hAnsi="微软雅黑" w:eastAsia="微软雅黑" w:cs="Malgun Gothic Semilight"/>
          <w:color w:val="808080" w:themeColor="background1" w:themeShade="80"/>
          <w:szCs w:val="21"/>
        </w:rPr>
        <w:t>催化剂界面收集的原位</w:t>
      </w:r>
      <w:r>
        <w:rPr>
          <w:rFonts w:ascii="微软雅黑" w:hAnsi="微软雅黑" w:eastAsia="微软雅黑" w:cs="Malgun Gothic Semilight"/>
          <w:color w:val="808080" w:themeColor="background1" w:themeShade="80"/>
          <w:szCs w:val="21"/>
        </w:rPr>
        <w:t>DRIFTS</w:t>
      </w:r>
      <w:r>
        <w:rPr>
          <w:rFonts w:hint="eastAsia" w:ascii="微软雅黑" w:hAnsi="微软雅黑" w:eastAsia="微软雅黑" w:cs="Malgun Gothic Semilight"/>
          <w:color w:val="808080" w:themeColor="background1" w:themeShade="80"/>
          <w:szCs w:val="21"/>
        </w:rPr>
        <w:t>光谱；反应前通过</w:t>
      </w:r>
      <w:r>
        <w:rPr>
          <w:rFonts w:ascii="微软雅黑" w:hAnsi="微软雅黑" w:eastAsia="微软雅黑" w:cs="Malgun Gothic Semilight"/>
          <w:color w:val="808080" w:themeColor="background1" w:themeShade="80"/>
          <w:szCs w:val="21"/>
        </w:rPr>
        <w:t>CO</w:t>
      </w:r>
      <w:r>
        <w:rPr>
          <w:rFonts w:ascii="Cambria Math" w:hAnsi="Cambria Math" w:eastAsia="微软雅黑" w:cs="Cambria Math"/>
          <w:color w:val="808080" w:themeColor="background1" w:themeShade="80"/>
          <w:szCs w:val="21"/>
        </w:rPr>
        <w:t>₂</w:t>
      </w:r>
      <w:r>
        <w:rPr>
          <w:rFonts w:hint="eastAsia" w:ascii="微软雅黑" w:hAnsi="微软雅黑" w:eastAsia="微软雅黑" w:cs="Malgun Gothic Semilight"/>
          <w:color w:val="808080" w:themeColor="background1" w:themeShade="80"/>
          <w:szCs w:val="21"/>
        </w:rPr>
        <w:t>流引入</w:t>
      </w:r>
      <w:r>
        <w:rPr>
          <w:rFonts w:ascii="微软雅黑" w:hAnsi="微软雅黑" w:eastAsia="微软雅黑" w:cs="Malgun Gothic Semilight"/>
          <w:color w:val="808080" w:themeColor="background1" w:themeShade="80"/>
          <w:szCs w:val="21"/>
        </w:rPr>
        <w:t>H</w:t>
      </w:r>
      <w:r>
        <w:rPr>
          <w:rFonts w:ascii="Cambria Math" w:hAnsi="Cambria Math" w:eastAsia="微软雅黑" w:cs="Cambria Math"/>
          <w:color w:val="808080" w:themeColor="background1" w:themeShade="80"/>
          <w:szCs w:val="21"/>
        </w:rPr>
        <w:t>₂</w:t>
      </w:r>
      <w:r>
        <w:rPr>
          <w:rFonts w:ascii="微软雅黑" w:hAnsi="微软雅黑" w:eastAsia="微软雅黑" w:cs="Malgun Gothic Semilight"/>
          <w:color w:val="808080" w:themeColor="background1" w:themeShade="80"/>
          <w:szCs w:val="21"/>
        </w:rPr>
        <w:t>O</w:t>
      </w:r>
      <w:r>
        <w:rPr>
          <w:rFonts w:hint="eastAsia" w:ascii="微软雅黑" w:hAnsi="微软雅黑" w:eastAsia="微软雅黑" w:cs="Malgun Gothic Semilight"/>
          <w:color w:val="808080" w:themeColor="background1" w:themeShade="80"/>
          <w:szCs w:val="21"/>
        </w:rPr>
        <w:t>。</w:t>
      </w:r>
      <w:r>
        <w:rPr>
          <w:rFonts w:ascii="微软雅黑" w:hAnsi="微软雅黑" w:eastAsia="微软雅黑" w:cs="Malgun Gothic Semilight"/>
          <w:color w:val="808080" w:themeColor="background1" w:themeShade="80"/>
          <w:szCs w:val="21"/>
        </w:rPr>
        <w:t xml:space="preserve">e </w:t>
      </w:r>
      <w:r>
        <w:rPr>
          <w:rFonts w:hint="eastAsia" w:ascii="微软雅黑" w:hAnsi="微软雅黑" w:eastAsia="微软雅黑" w:cs="Malgun Gothic Semilight"/>
          <w:color w:val="808080" w:themeColor="background1" w:themeShade="80"/>
          <w:szCs w:val="21"/>
        </w:rPr>
        <w:t>左：</w:t>
      </w:r>
      <w:r>
        <w:rPr>
          <w:rFonts w:ascii="微软雅黑" w:hAnsi="微软雅黑" w:eastAsia="微软雅黑" w:cs="Malgun Gothic Semilight"/>
          <w:color w:val="808080" w:themeColor="background1" w:themeShade="80"/>
          <w:szCs w:val="21"/>
        </w:rPr>
        <w:t>BBAD</w:t>
      </w:r>
      <w:r>
        <w:rPr>
          <w:rFonts w:hint="eastAsia" w:ascii="微软雅黑" w:hAnsi="微软雅黑" w:eastAsia="微软雅黑" w:cs="Malgun Gothic Semilight"/>
          <w:color w:val="808080" w:themeColor="background1" w:themeShade="80"/>
          <w:szCs w:val="21"/>
        </w:rPr>
        <w:t>在</w:t>
      </w:r>
      <w:r>
        <w:rPr>
          <w:rFonts w:ascii="微软雅黑" w:hAnsi="微软雅黑" w:eastAsia="微软雅黑" w:cs="Malgun Gothic Semilight"/>
          <w:color w:val="808080" w:themeColor="background1" w:themeShade="80"/>
          <w:szCs w:val="21"/>
        </w:rPr>
        <w:t>ZIS</w:t>
      </w:r>
      <w:r>
        <w:rPr>
          <w:rFonts w:hint="eastAsia" w:ascii="微软雅黑" w:hAnsi="微软雅黑" w:eastAsia="微软雅黑" w:cs="Malgun Gothic Semilight"/>
          <w:color w:val="808080" w:themeColor="background1" w:themeShade="80"/>
          <w:szCs w:val="21"/>
        </w:rPr>
        <w:t>和</w:t>
      </w:r>
      <w:r>
        <w:rPr>
          <w:rFonts w:ascii="微软雅黑" w:hAnsi="微软雅黑" w:eastAsia="微软雅黑" w:cs="Malgun Gothic Semilight"/>
          <w:color w:val="808080" w:themeColor="background1" w:themeShade="80"/>
          <w:szCs w:val="21"/>
        </w:rPr>
        <w:t>T4-CdCu/ZIS</w:t>
      </w:r>
      <w:r>
        <w:rPr>
          <w:rFonts w:hint="eastAsia" w:ascii="微软雅黑" w:hAnsi="微软雅黑" w:eastAsia="微软雅黑" w:cs="Malgun Gothic Semilight"/>
          <w:color w:val="808080" w:themeColor="background1" w:themeShade="80"/>
          <w:szCs w:val="21"/>
        </w:rPr>
        <w:t>上的吸附能。右：</w:t>
      </w:r>
      <w:r>
        <w:rPr>
          <w:rFonts w:ascii="微软雅黑" w:hAnsi="微软雅黑" w:eastAsia="微软雅黑" w:cs="Malgun Gothic Semilight"/>
          <w:color w:val="808080" w:themeColor="background1" w:themeShade="80"/>
          <w:szCs w:val="21"/>
        </w:rPr>
        <w:t>BBAD</w:t>
      </w:r>
      <w:r>
        <w:rPr>
          <w:rFonts w:hint="eastAsia" w:ascii="微软雅黑" w:hAnsi="微软雅黑" w:eastAsia="微软雅黑" w:cs="Malgun Gothic Semilight"/>
          <w:color w:val="808080" w:themeColor="background1" w:themeShade="80"/>
          <w:szCs w:val="21"/>
        </w:rPr>
        <w:t>吸附在</w:t>
      </w:r>
      <w:r>
        <w:rPr>
          <w:rFonts w:ascii="微软雅黑" w:hAnsi="微软雅黑" w:eastAsia="微软雅黑" w:cs="Malgun Gothic Semilight"/>
          <w:color w:val="808080" w:themeColor="background1" w:themeShade="80"/>
          <w:szCs w:val="21"/>
        </w:rPr>
        <w:t>T4-CdCu/ZIS</w:t>
      </w:r>
      <w:r>
        <w:rPr>
          <w:rFonts w:hint="eastAsia" w:ascii="微软雅黑" w:hAnsi="微软雅黑" w:eastAsia="微软雅黑" w:cs="Malgun Gothic Semilight"/>
          <w:color w:val="808080" w:themeColor="background1" w:themeShade="80"/>
          <w:szCs w:val="21"/>
        </w:rPr>
        <w:t>上的差分电荷密度（红色等值面：电荷积累；蓝色等值面：电荷耗尽）。f ZIS和T4-CdCu/ZIS上*H吸附的吉布斯自由能图。g T4-CdCu/ZIS上可见光驱动BA-to-DBA转化机制。</w:t>
      </w:r>
    </w:p>
    <w:p w14:paraId="43917706">
      <w:pPr>
        <w:spacing w:line="360" w:lineRule="auto"/>
        <w:jc w:val="center"/>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drawing>
          <wp:inline distT="0" distB="0" distL="0" distR="0">
            <wp:extent cx="5219700" cy="2833370"/>
            <wp:effectExtent l="0" t="0" r="0" b="5080"/>
            <wp:docPr id="2740722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7221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20000" cy="2833994"/>
                    </a:xfrm>
                    <a:prstGeom prst="rect">
                      <a:avLst/>
                    </a:prstGeom>
                    <a:noFill/>
                  </pic:spPr>
                </pic:pic>
              </a:graphicData>
            </a:graphic>
          </wp:inline>
        </w:drawing>
      </w:r>
    </w:p>
    <w:p w14:paraId="74043BB2">
      <w:pPr>
        <w:spacing w:line="360" w:lineRule="auto"/>
        <w:rPr>
          <w:rFonts w:hint="eastAsia" w:ascii="微软雅黑" w:hAnsi="微软雅黑" w:eastAsia="微软雅黑" w:cs="Malgun Gothic Semilight"/>
          <w:color w:val="808080" w:themeColor="background1" w:themeShade="80"/>
          <w:szCs w:val="21"/>
        </w:rPr>
      </w:pPr>
      <w:r>
        <w:rPr>
          <w:rFonts w:hint="eastAsia" w:ascii="微软雅黑" w:hAnsi="微软雅黑" w:eastAsia="微软雅黑" w:cs="Malgun Gothic Semilight"/>
          <w:color w:val="808080" w:themeColor="background1" w:themeShade="80"/>
          <w:szCs w:val="21"/>
        </w:rPr>
        <w:t>图6. a 光催化BA氧化还原级联转化的底物范围。b BA与三种结构不同的胺进行交叉偶联反应合成不对称仲胺。c 西那卡塞的目标合成</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algun Gothic Semilight">
    <w:panose1 w:val="020B0502040204020203"/>
    <w:charset w:val="86"/>
    <w:family w:val="swiss"/>
    <w:pitch w:val="default"/>
    <w:sig w:usb0="900002AF" w:usb1="01D77CFB" w:usb2="00000012" w:usb3="00000000" w:csb0="203E01BD" w:csb1="D7FF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3E6BA7"/>
    <w:multiLevelType w:val="multilevel"/>
    <w:tmpl w:val="163E6BA7"/>
    <w:lvl w:ilvl="0" w:tentative="0">
      <w:start w:val="1"/>
      <w:numFmt w:val="decimal"/>
      <w:lvlText w:val="(%1)"/>
      <w:lvlJc w:val="left"/>
      <w:pPr>
        <w:ind w:left="375" w:hanging="37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CD"/>
    <w:rsid w:val="0000229B"/>
    <w:rsid w:val="00004006"/>
    <w:rsid w:val="00011C70"/>
    <w:rsid w:val="0001779C"/>
    <w:rsid w:val="00021ADA"/>
    <w:rsid w:val="00021DBA"/>
    <w:rsid w:val="000330AA"/>
    <w:rsid w:val="00035703"/>
    <w:rsid w:val="00037599"/>
    <w:rsid w:val="000412D0"/>
    <w:rsid w:val="000544CA"/>
    <w:rsid w:val="0005501A"/>
    <w:rsid w:val="00066B6C"/>
    <w:rsid w:val="0007379D"/>
    <w:rsid w:val="00074EEC"/>
    <w:rsid w:val="000871FE"/>
    <w:rsid w:val="000B5B93"/>
    <w:rsid w:val="000C2C92"/>
    <w:rsid w:val="000D4298"/>
    <w:rsid w:val="000E4C11"/>
    <w:rsid w:val="000F3AA4"/>
    <w:rsid w:val="001044F8"/>
    <w:rsid w:val="00111CC9"/>
    <w:rsid w:val="00112500"/>
    <w:rsid w:val="00121CA0"/>
    <w:rsid w:val="00123A50"/>
    <w:rsid w:val="001242D7"/>
    <w:rsid w:val="00124526"/>
    <w:rsid w:val="0013095A"/>
    <w:rsid w:val="001523E1"/>
    <w:rsid w:val="00152534"/>
    <w:rsid w:val="001548E0"/>
    <w:rsid w:val="0015616C"/>
    <w:rsid w:val="00161F00"/>
    <w:rsid w:val="001772C3"/>
    <w:rsid w:val="00177A44"/>
    <w:rsid w:val="00181E01"/>
    <w:rsid w:val="00186E23"/>
    <w:rsid w:val="001A54CB"/>
    <w:rsid w:val="001C0550"/>
    <w:rsid w:val="001C4A23"/>
    <w:rsid w:val="001C700A"/>
    <w:rsid w:val="001D36B3"/>
    <w:rsid w:val="001D607F"/>
    <w:rsid w:val="0020252C"/>
    <w:rsid w:val="00225A81"/>
    <w:rsid w:val="00226CA6"/>
    <w:rsid w:val="0023174A"/>
    <w:rsid w:val="002333C2"/>
    <w:rsid w:val="002342C4"/>
    <w:rsid w:val="00237DD7"/>
    <w:rsid w:val="00264859"/>
    <w:rsid w:val="002667CD"/>
    <w:rsid w:val="00291915"/>
    <w:rsid w:val="002A0BAB"/>
    <w:rsid w:val="002A2F81"/>
    <w:rsid w:val="002A484D"/>
    <w:rsid w:val="002B4DBD"/>
    <w:rsid w:val="002C3D72"/>
    <w:rsid w:val="002D0088"/>
    <w:rsid w:val="002D2DA3"/>
    <w:rsid w:val="002D4539"/>
    <w:rsid w:val="002E43D1"/>
    <w:rsid w:val="002E5258"/>
    <w:rsid w:val="002E57FA"/>
    <w:rsid w:val="002F0914"/>
    <w:rsid w:val="002F108A"/>
    <w:rsid w:val="002F52DB"/>
    <w:rsid w:val="002F5E47"/>
    <w:rsid w:val="0031418A"/>
    <w:rsid w:val="00317CFA"/>
    <w:rsid w:val="00322869"/>
    <w:rsid w:val="003242D4"/>
    <w:rsid w:val="00327526"/>
    <w:rsid w:val="003302C5"/>
    <w:rsid w:val="00342A78"/>
    <w:rsid w:val="00345E15"/>
    <w:rsid w:val="00354F1F"/>
    <w:rsid w:val="00395B72"/>
    <w:rsid w:val="003A7C5B"/>
    <w:rsid w:val="003B1E1D"/>
    <w:rsid w:val="003B40EE"/>
    <w:rsid w:val="003B76F7"/>
    <w:rsid w:val="003D5F22"/>
    <w:rsid w:val="003D702D"/>
    <w:rsid w:val="003E3B27"/>
    <w:rsid w:val="003F2DE0"/>
    <w:rsid w:val="003F716A"/>
    <w:rsid w:val="003F74DF"/>
    <w:rsid w:val="00404355"/>
    <w:rsid w:val="0040568A"/>
    <w:rsid w:val="00411232"/>
    <w:rsid w:val="00414418"/>
    <w:rsid w:val="00441F0B"/>
    <w:rsid w:val="00452541"/>
    <w:rsid w:val="00456A9A"/>
    <w:rsid w:val="004575C1"/>
    <w:rsid w:val="00460CB6"/>
    <w:rsid w:val="00464684"/>
    <w:rsid w:val="00481B62"/>
    <w:rsid w:val="004A3103"/>
    <w:rsid w:val="004B2E5A"/>
    <w:rsid w:val="004B2F99"/>
    <w:rsid w:val="004B7554"/>
    <w:rsid w:val="004C15C3"/>
    <w:rsid w:val="004C3FAB"/>
    <w:rsid w:val="004C4DC6"/>
    <w:rsid w:val="004C7D03"/>
    <w:rsid w:val="004D605B"/>
    <w:rsid w:val="004E1101"/>
    <w:rsid w:val="004E3525"/>
    <w:rsid w:val="004E5CD0"/>
    <w:rsid w:val="005001AB"/>
    <w:rsid w:val="00507E8F"/>
    <w:rsid w:val="00511C9C"/>
    <w:rsid w:val="005442BF"/>
    <w:rsid w:val="005540A1"/>
    <w:rsid w:val="00556352"/>
    <w:rsid w:val="005703F1"/>
    <w:rsid w:val="00582706"/>
    <w:rsid w:val="00586C44"/>
    <w:rsid w:val="005B18EB"/>
    <w:rsid w:val="005B40F7"/>
    <w:rsid w:val="005B41DC"/>
    <w:rsid w:val="005C381D"/>
    <w:rsid w:val="005C4E08"/>
    <w:rsid w:val="005C4E52"/>
    <w:rsid w:val="005C6A21"/>
    <w:rsid w:val="005D27E4"/>
    <w:rsid w:val="005E4F7B"/>
    <w:rsid w:val="00607BDD"/>
    <w:rsid w:val="00611535"/>
    <w:rsid w:val="0061201D"/>
    <w:rsid w:val="0061358E"/>
    <w:rsid w:val="00620C72"/>
    <w:rsid w:val="00622D58"/>
    <w:rsid w:val="00640B69"/>
    <w:rsid w:val="006438E9"/>
    <w:rsid w:val="00644FDE"/>
    <w:rsid w:val="00647B78"/>
    <w:rsid w:val="006610AD"/>
    <w:rsid w:val="00676C84"/>
    <w:rsid w:val="006802BC"/>
    <w:rsid w:val="0069025E"/>
    <w:rsid w:val="00691AD7"/>
    <w:rsid w:val="006A781B"/>
    <w:rsid w:val="006C16E1"/>
    <w:rsid w:val="006D2582"/>
    <w:rsid w:val="006E1E52"/>
    <w:rsid w:val="006F1836"/>
    <w:rsid w:val="00703201"/>
    <w:rsid w:val="0071372A"/>
    <w:rsid w:val="007461E3"/>
    <w:rsid w:val="007522D1"/>
    <w:rsid w:val="00755DD3"/>
    <w:rsid w:val="007666E2"/>
    <w:rsid w:val="00780855"/>
    <w:rsid w:val="00796CB9"/>
    <w:rsid w:val="0079701F"/>
    <w:rsid w:val="007B7953"/>
    <w:rsid w:val="007F77AE"/>
    <w:rsid w:val="00813623"/>
    <w:rsid w:val="00822C9C"/>
    <w:rsid w:val="00830387"/>
    <w:rsid w:val="00830900"/>
    <w:rsid w:val="00837339"/>
    <w:rsid w:val="0084591A"/>
    <w:rsid w:val="00854056"/>
    <w:rsid w:val="00867043"/>
    <w:rsid w:val="0088073B"/>
    <w:rsid w:val="00882F2D"/>
    <w:rsid w:val="0088796B"/>
    <w:rsid w:val="00895FE3"/>
    <w:rsid w:val="008A7CCC"/>
    <w:rsid w:val="008B3D10"/>
    <w:rsid w:val="008C4C59"/>
    <w:rsid w:val="008D39B2"/>
    <w:rsid w:val="008E39D5"/>
    <w:rsid w:val="008F17D8"/>
    <w:rsid w:val="009024DA"/>
    <w:rsid w:val="00903F41"/>
    <w:rsid w:val="009147AD"/>
    <w:rsid w:val="00922DC2"/>
    <w:rsid w:val="009271A3"/>
    <w:rsid w:val="00927DE6"/>
    <w:rsid w:val="00942BEA"/>
    <w:rsid w:val="00945B84"/>
    <w:rsid w:val="00947F43"/>
    <w:rsid w:val="009546F4"/>
    <w:rsid w:val="00957388"/>
    <w:rsid w:val="009601A5"/>
    <w:rsid w:val="00963A16"/>
    <w:rsid w:val="009749D2"/>
    <w:rsid w:val="009773BE"/>
    <w:rsid w:val="00981C48"/>
    <w:rsid w:val="009A2162"/>
    <w:rsid w:val="009A2B77"/>
    <w:rsid w:val="009A5A48"/>
    <w:rsid w:val="009A5E7D"/>
    <w:rsid w:val="009C0197"/>
    <w:rsid w:val="009C3253"/>
    <w:rsid w:val="009C5B87"/>
    <w:rsid w:val="009C61C2"/>
    <w:rsid w:val="009C76D2"/>
    <w:rsid w:val="009C7BC4"/>
    <w:rsid w:val="009D6CEC"/>
    <w:rsid w:val="009D76F4"/>
    <w:rsid w:val="009E47CE"/>
    <w:rsid w:val="009E6041"/>
    <w:rsid w:val="00A105FF"/>
    <w:rsid w:val="00A240C1"/>
    <w:rsid w:val="00A3371E"/>
    <w:rsid w:val="00A46097"/>
    <w:rsid w:val="00A52FC7"/>
    <w:rsid w:val="00A614B9"/>
    <w:rsid w:val="00A71CD3"/>
    <w:rsid w:val="00A71E81"/>
    <w:rsid w:val="00A9196D"/>
    <w:rsid w:val="00A94CAD"/>
    <w:rsid w:val="00AA5696"/>
    <w:rsid w:val="00AB321B"/>
    <w:rsid w:val="00AC4E24"/>
    <w:rsid w:val="00AE1E1D"/>
    <w:rsid w:val="00AE3631"/>
    <w:rsid w:val="00AF5ABF"/>
    <w:rsid w:val="00AF637B"/>
    <w:rsid w:val="00B041A9"/>
    <w:rsid w:val="00B056D8"/>
    <w:rsid w:val="00B2646D"/>
    <w:rsid w:val="00B3709A"/>
    <w:rsid w:val="00B40EFC"/>
    <w:rsid w:val="00B4454B"/>
    <w:rsid w:val="00B52702"/>
    <w:rsid w:val="00B55AD9"/>
    <w:rsid w:val="00B74A23"/>
    <w:rsid w:val="00B77AF8"/>
    <w:rsid w:val="00BA2133"/>
    <w:rsid w:val="00BA43A4"/>
    <w:rsid w:val="00BB0A28"/>
    <w:rsid w:val="00BB4DB8"/>
    <w:rsid w:val="00BD6023"/>
    <w:rsid w:val="00BE2C07"/>
    <w:rsid w:val="00BE5831"/>
    <w:rsid w:val="00BE7629"/>
    <w:rsid w:val="00BF46BE"/>
    <w:rsid w:val="00C12F59"/>
    <w:rsid w:val="00C21D73"/>
    <w:rsid w:val="00C25B62"/>
    <w:rsid w:val="00C34676"/>
    <w:rsid w:val="00C44201"/>
    <w:rsid w:val="00C4552C"/>
    <w:rsid w:val="00C514A5"/>
    <w:rsid w:val="00C542D7"/>
    <w:rsid w:val="00C6341A"/>
    <w:rsid w:val="00C67FF0"/>
    <w:rsid w:val="00C7697A"/>
    <w:rsid w:val="00C852CA"/>
    <w:rsid w:val="00C8776C"/>
    <w:rsid w:val="00C92DBB"/>
    <w:rsid w:val="00C95FDA"/>
    <w:rsid w:val="00CA07B3"/>
    <w:rsid w:val="00CA3407"/>
    <w:rsid w:val="00CC1CB3"/>
    <w:rsid w:val="00CD1EE4"/>
    <w:rsid w:val="00CD3845"/>
    <w:rsid w:val="00CD59E2"/>
    <w:rsid w:val="00CE5370"/>
    <w:rsid w:val="00CF0ECB"/>
    <w:rsid w:val="00CF615E"/>
    <w:rsid w:val="00D01C49"/>
    <w:rsid w:val="00D31980"/>
    <w:rsid w:val="00D435FB"/>
    <w:rsid w:val="00D53658"/>
    <w:rsid w:val="00D70D40"/>
    <w:rsid w:val="00D714F0"/>
    <w:rsid w:val="00DA0A2F"/>
    <w:rsid w:val="00DA2760"/>
    <w:rsid w:val="00DA405E"/>
    <w:rsid w:val="00DA421A"/>
    <w:rsid w:val="00DA7B48"/>
    <w:rsid w:val="00DC51A2"/>
    <w:rsid w:val="00DC761A"/>
    <w:rsid w:val="00DD365D"/>
    <w:rsid w:val="00DD48AF"/>
    <w:rsid w:val="00DF5166"/>
    <w:rsid w:val="00DF62AE"/>
    <w:rsid w:val="00DF71B4"/>
    <w:rsid w:val="00E2276F"/>
    <w:rsid w:val="00E27BBC"/>
    <w:rsid w:val="00E3633B"/>
    <w:rsid w:val="00E411BD"/>
    <w:rsid w:val="00E41756"/>
    <w:rsid w:val="00E41D10"/>
    <w:rsid w:val="00E51D72"/>
    <w:rsid w:val="00E5209E"/>
    <w:rsid w:val="00E612DA"/>
    <w:rsid w:val="00E625CF"/>
    <w:rsid w:val="00E81E13"/>
    <w:rsid w:val="00E93368"/>
    <w:rsid w:val="00EA7742"/>
    <w:rsid w:val="00EC17F8"/>
    <w:rsid w:val="00EC315F"/>
    <w:rsid w:val="00EC755B"/>
    <w:rsid w:val="00ED49B3"/>
    <w:rsid w:val="00EE56A0"/>
    <w:rsid w:val="00EE65CB"/>
    <w:rsid w:val="00F05F48"/>
    <w:rsid w:val="00F13881"/>
    <w:rsid w:val="00F149B1"/>
    <w:rsid w:val="00F16453"/>
    <w:rsid w:val="00F24AFD"/>
    <w:rsid w:val="00F269F0"/>
    <w:rsid w:val="00F42017"/>
    <w:rsid w:val="00F44E7F"/>
    <w:rsid w:val="00F56F79"/>
    <w:rsid w:val="00F64D1D"/>
    <w:rsid w:val="00F700D0"/>
    <w:rsid w:val="00F823A9"/>
    <w:rsid w:val="00F8472F"/>
    <w:rsid w:val="00F91FD6"/>
    <w:rsid w:val="00FA64D3"/>
    <w:rsid w:val="00FC2DC1"/>
    <w:rsid w:val="00FC4926"/>
    <w:rsid w:val="00FE5B6C"/>
    <w:rsid w:val="58A46483"/>
    <w:rsid w:val="77AC6C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spacing w:beforeAutospacing="1" w:afterAutospacing="1"/>
      <w:jc w:val="left"/>
      <w:outlineLvl w:val="1"/>
    </w:pPr>
    <w:rPr>
      <w:rFonts w:hint="eastAsia" w:ascii="宋体" w:hAnsi="宋体"/>
      <w:b/>
      <w:kern w:val="0"/>
      <w:sz w:val="36"/>
      <w:szCs w:val="36"/>
    </w:rPr>
  </w:style>
  <w:style w:type="paragraph" w:styleId="4">
    <w:name w:val="heading 3"/>
    <w:basedOn w:val="1"/>
    <w:next w:val="1"/>
    <w:link w:val="20"/>
    <w:semiHidden/>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3"/>
    <w:semiHidden/>
    <w:unhideWhenUsed/>
    <w:qFormat/>
    <w:uiPriority w:val="99"/>
    <w:pPr>
      <w:jc w:val="left"/>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kern w:val="0"/>
      <w:sz w:val="24"/>
    </w:rPr>
  </w:style>
  <w:style w:type="paragraph" w:styleId="9">
    <w:name w:val="annotation subject"/>
    <w:basedOn w:val="5"/>
    <w:next w:val="5"/>
    <w:link w:val="24"/>
    <w:semiHidden/>
    <w:unhideWhenUsed/>
    <w:qFormat/>
    <w:uiPriority w:val="99"/>
    <w:rPr>
      <w:b/>
      <w:bCs/>
    </w:rPr>
  </w:style>
  <w:style w:type="character" w:styleId="12">
    <w:name w:val="Strong"/>
    <w:basedOn w:val="11"/>
    <w:qFormat/>
    <w:uiPriority w:val="22"/>
    <w:rPr>
      <w:b/>
      <w:bCs/>
    </w:rPr>
  </w:style>
  <w:style w:type="character" w:styleId="13">
    <w:name w:val="FollowedHyperlink"/>
    <w:basedOn w:val="11"/>
    <w:semiHidden/>
    <w:unhideWhenUsed/>
    <w:qFormat/>
    <w:uiPriority w:val="99"/>
    <w:rPr>
      <w:color w:val="800080" w:themeColor="followedHyperlink"/>
      <w:u w:val="single"/>
      <w14:textFill>
        <w14:solidFill>
          <w14:schemeClr w14:val="folHlink"/>
        </w14:solidFill>
      </w14:textFill>
    </w:rPr>
  </w:style>
  <w:style w:type="character" w:styleId="14">
    <w:name w:val="Hyperlink"/>
    <w:basedOn w:val="11"/>
    <w:qFormat/>
    <w:uiPriority w:val="0"/>
    <w:rPr>
      <w:color w:val="0000FF"/>
      <w:u w:val="single"/>
    </w:rPr>
  </w:style>
  <w:style w:type="character" w:styleId="15">
    <w:name w:val="annotation reference"/>
    <w:basedOn w:val="11"/>
    <w:semiHidden/>
    <w:unhideWhenUsed/>
    <w:qFormat/>
    <w:uiPriority w:val="99"/>
    <w:rPr>
      <w:sz w:val="21"/>
      <w:szCs w:val="21"/>
    </w:rPr>
  </w:style>
  <w:style w:type="paragraph" w:styleId="16">
    <w:name w:val="List Paragraph"/>
    <w:basedOn w:val="1"/>
    <w:qFormat/>
    <w:uiPriority w:val="34"/>
    <w:pPr>
      <w:ind w:firstLine="420" w:firstLineChars="200"/>
    </w:pPr>
  </w:style>
  <w:style w:type="character" w:customStyle="1" w:styleId="17">
    <w:name w:val="页眉 字符"/>
    <w:basedOn w:val="11"/>
    <w:link w:val="7"/>
    <w:uiPriority w:val="99"/>
    <w:rPr>
      <w:kern w:val="2"/>
      <w:sz w:val="18"/>
      <w:szCs w:val="18"/>
    </w:rPr>
  </w:style>
  <w:style w:type="character" w:customStyle="1" w:styleId="18">
    <w:name w:val="页脚 字符"/>
    <w:basedOn w:val="11"/>
    <w:link w:val="6"/>
    <w:uiPriority w:val="99"/>
    <w:rPr>
      <w:kern w:val="2"/>
      <w:sz w:val="18"/>
      <w:szCs w:val="18"/>
    </w:rPr>
  </w:style>
  <w:style w:type="character" w:customStyle="1" w:styleId="19">
    <w:name w:val="Unresolved Mention"/>
    <w:basedOn w:val="11"/>
    <w:semiHidden/>
    <w:unhideWhenUsed/>
    <w:qFormat/>
    <w:uiPriority w:val="99"/>
    <w:rPr>
      <w:color w:val="605E5C"/>
      <w:shd w:val="clear" w:color="auto" w:fill="E1DFDD"/>
    </w:rPr>
  </w:style>
  <w:style w:type="character" w:customStyle="1" w:styleId="20">
    <w:name w:val="标题 3 字符"/>
    <w:basedOn w:val="11"/>
    <w:link w:val="4"/>
    <w:semiHidden/>
    <w:qFormat/>
    <w:uiPriority w:val="9"/>
    <w:rPr>
      <w:b/>
      <w:bCs/>
      <w:kern w:val="2"/>
      <w:sz w:val="32"/>
      <w:szCs w:val="32"/>
    </w:rPr>
  </w:style>
  <w:style w:type="character" w:customStyle="1" w:styleId="21">
    <w:name w:val="标题 1 字符"/>
    <w:basedOn w:val="11"/>
    <w:link w:val="2"/>
    <w:uiPriority w:val="9"/>
    <w:rPr>
      <w:b/>
      <w:bCs/>
      <w:kern w:val="44"/>
      <w:sz w:val="44"/>
      <w:szCs w:val="44"/>
    </w:rPr>
  </w:style>
  <w:style w:type="paragraph" w:customStyle="1" w:styleId="22">
    <w:name w:val="Revision"/>
    <w:hidden/>
    <w:semiHidden/>
    <w:qFormat/>
    <w:uiPriority w:val="99"/>
    <w:rPr>
      <w:rFonts w:ascii="Calibri" w:hAnsi="Calibri" w:eastAsia="宋体" w:cs="宋体"/>
      <w:kern w:val="2"/>
      <w:sz w:val="21"/>
      <w:szCs w:val="24"/>
      <w:lang w:val="en-US" w:eastAsia="zh-CN" w:bidi="ar-SA"/>
    </w:rPr>
  </w:style>
  <w:style w:type="character" w:customStyle="1" w:styleId="23">
    <w:name w:val="批注文字 字符"/>
    <w:basedOn w:val="11"/>
    <w:link w:val="5"/>
    <w:semiHidden/>
    <w:qFormat/>
    <w:uiPriority w:val="99"/>
    <w:rPr>
      <w:kern w:val="2"/>
      <w:sz w:val="21"/>
      <w:szCs w:val="24"/>
    </w:rPr>
  </w:style>
  <w:style w:type="character" w:customStyle="1" w:styleId="24">
    <w:name w:val="批注主题 字符"/>
    <w:basedOn w:val="23"/>
    <w:link w:val="9"/>
    <w:semiHidden/>
    <w:qFormat/>
    <w:uiPriority w:val="99"/>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1775</Words>
  <Characters>2439</Characters>
  <Lines>42</Lines>
  <Paragraphs>5</Paragraphs>
  <TotalTime>2089</TotalTime>
  <ScaleCrop>false</ScaleCrop>
  <LinksUpToDate>false</LinksUpToDate>
  <CharactersWithSpaces>2508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2025-08-06T09:15:00Z</dcterms:created>
  <dc:creator>057</dc:creator>
  <cp:lastModifiedBy>WPS_1687015107</cp:lastModifiedBy>
  <dcterms:modified xsi:type="dcterms:W3CDTF">2025-11-16T14:14:49Z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3585442902914EC782E97198D627DBAA_13</vt:lpwstr>
  </property>
  <property fmtid="{D5CDD505-2E9C-101B-9397-08002B2CF9AE}" pid="4" name="KSOTemplateDocerSaveRecord">
    <vt:lpwstr>eyJoZGlkIjoiNTZlYjhjZTFlYTJmODkzMWMxYWQwMzQzNDBmYWI0MDYiLCJ1c2VySWQiOiIxNTA5NTI0NDAzIn0=</vt:lpwstr>
  </property>
</Properties>
</file>