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E55C6">
      <w:pPr>
        <w:spacing w:after="156" w:afterLines="50" w:line="360" w:lineRule="auto"/>
        <w:rPr>
          <w:rFonts w:ascii="Times New Roman" w:hAnsi="Times New Roman" w:eastAsia="宋体" w:cs="Times New Roman"/>
          <w:sz w:val="28"/>
          <w:szCs w:val="32"/>
        </w:rPr>
      </w:pPr>
      <w:bookmarkStart w:id="1" w:name="_GoBack"/>
      <w:bookmarkEnd w:id="1"/>
      <w:r>
        <w:rPr>
          <w:rFonts w:hint="eastAsia" w:ascii="Times New Roman" w:hAnsi="Times New Roman" w:eastAsia="宋体" w:cs="Times New Roman"/>
          <w:sz w:val="28"/>
          <w:szCs w:val="32"/>
        </w:rPr>
        <w:t>化学与材料学院宁国宏</w:t>
      </w:r>
      <w:r>
        <w:rPr>
          <w:rFonts w:ascii="Times New Roman" w:hAnsi="Times New Roman" w:eastAsia="宋体" w:cs="Times New Roman"/>
          <w:sz w:val="28"/>
          <w:szCs w:val="32"/>
        </w:rPr>
        <w:t>/李丹</w:t>
      </w:r>
      <w:r>
        <w:rPr>
          <w:rFonts w:hint="eastAsia" w:ascii="Times New Roman" w:hAnsi="Times New Roman" w:eastAsia="宋体" w:cs="Times New Roman"/>
          <w:sz w:val="28"/>
          <w:szCs w:val="32"/>
        </w:rPr>
        <w:t>教授</w:t>
      </w:r>
      <w:r>
        <w:rPr>
          <w:rFonts w:ascii="Times New Roman" w:hAnsi="Times New Roman" w:eastAsia="宋体" w:cs="Times New Roman"/>
          <w:sz w:val="28"/>
          <w:szCs w:val="32"/>
        </w:rPr>
        <w:t>团队</w:t>
      </w:r>
      <w:r>
        <w:rPr>
          <w:rFonts w:hint="eastAsia" w:ascii="Times New Roman" w:hAnsi="Times New Roman" w:eastAsia="宋体" w:cs="Times New Roman"/>
          <w:sz w:val="28"/>
          <w:szCs w:val="32"/>
        </w:rPr>
        <w:t>NSR：通过共价金属有机框架光催化合成含三氟甲基的</w:t>
      </w:r>
      <w:r>
        <w:rPr>
          <w:rFonts w:ascii="Times New Roman" w:hAnsi="Times New Roman" w:eastAsia="宋体" w:cs="Times New Roman"/>
          <w:sz w:val="28"/>
          <w:szCs w:val="32"/>
        </w:rPr>
        <w:t>β-</w:t>
      </w:r>
      <w:r>
        <w:rPr>
          <w:rFonts w:hint="eastAsia" w:ascii="Times New Roman" w:hAnsi="Times New Roman" w:eastAsia="宋体" w:cs="Times New Roman"/>
          <w:sz w:val="28"/>
          <w:szCs w:val="32"/>
        </w:rPr>
        <w:t>氨基醇</w:t>
      </w:r>
    </w:p>
    <w:p w14:paraId="0647C526">
      <w:pPr>
        <w:spacing w:after="156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8"/>
        </w:rPr>
      </w:pPr>
      <w:r>
        <w:rPr>
          <w:rFonts w:hint="eastAsia" w:ascii="Times New Roman" w:hAnsi="Times New Roman" w:eastAsia="宋体" w:cs="Times New Roman"/>
          <w:sz w:val="24"/>
          <w:szCs w:val="28"/>
        </w:rPr>
        <w:t>近日，我院超分子配位化学研究所宁国宏/</w:t>
      </w:r>
      <w:r>
        <w:rPr>
          <w:rFonts w:ascii="Times New Roman" w:hAnsi="Times New Roman" w:eastAsia="宋体" w:cs="Times New Roman"/>
          <w:sz w:val="24"/>
          <w:szCs w:val="28"/>
        </w:rPr>
        <w:t>李丹</w:t>
      </w:r>
      <w:r>
        <w:rPr>
          <w:rFonts w:hint="eastAsia" w:ascii="Times New Roman" w:hAnsi="Times New Roman" w:eastAsia="宋体" w:cs="Times New Roman"/>
          <w:sz w:val="24"/>
          <w:szCs w:val="28"/>
        </w:rPr>
        <w:t>教授团队在</w:t>
      </w:r>
      <w:r>
        <w:rPr>
          <w:rFonts w:hint="eastAsia" w:ascii="Times New Roman" w:hAnsi="Times New Roman" w:eastAsia="宋体" w:cs="Times New Roman"/>
          <w:i/>
          <w:iCs/>
          <w:sz w:val="24"/>
          <w:szCs w:val="28"/>
        </w:rPr>
        <w:t>National Science Review</w:t>
      </w:r>
      <w:r>
        <w:rPr>
          <w:rFonts w:hint="eastAsia" w:ascii="Times New Roman" w:hAnsi="Times New Roman" w:eastAsia="宋体" w:cs="Times New Roman"/>
          <w:sz w:val="24"/>
          <w:szCs w:val="28"/>
        </w:rPr>
        <w:t>上发表了题为“Photocatalytic synthesis of CF</w:t>
      </w:r>
      <w:r>
        <w:rPr>
          <w:rFonts w:hint="eastAsia" w:ascii="Times New Roman" w:hAnsi="Times New Roman" w:eastAsia="宋体" w:cs="Times New Roman"/>
          <w:sz w:val="24"/>
          <w:szCs w:val="28"/>
          <w:vertAlign w:val="subscript"/>
        </w:rPr>
        <w:t>3</w:t>
      </w:r>
      <w:r>
        <w:rPr>
          <w:rFonts w:hint="eastAsia" w:ascii="Times New Roman" w:hAnsi="Times New Roman" w:eastAsia="宋体" w:cs="Times New Roman"/>
          <w:sz w:val="24"/>
          <w:szCs w:val="28"/>
        </w:rPr>
        <w:t xml:space="preserve">-containing </w:t>
      </w:r>
      <w:r>
        <w:rPr>
          <w:rFonts w:ascii="Times New Roman" w:hAnsi="Times New Roman" w:eastAsia="宋体" w:cs="Times New Roman"/>
          <w:sz w:val="24"/>
          <w:szCs w:val="28"/>
        </w:rPr>
        <w:t>β</w:t>
      </w:r>
      <w:r>
        <w:rPr>
          <w:rFonts w:hint="eastAsia" w:ascii="Times New Roman" w:hAnsi="Times New Roman" w:eastAsia="宋体" w:cs="Times New Roman"/>
          <w:sz w:val="24"/>
          <w:szCs w:val="28"/>
        </w:rPr>
        <w:t>-amino alcohols via covalent metal-organic frameworks”的重要研究成果（图1）。</w:t>
      </w:r>
    </w:p>
    <w:p w14:paraId="6F27C86B"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8"/>
        </w:rPr>
      </w:pPr>
      <w:r>
        <w:drawing>
          <wp:inline distT="0" distB="0" distL="0" distR="0">
            <wp:extent cx="5274310" cy="1632585"/>
            <wp:effectExtent l="0" t="0" r="2540" b="5715"/>
            <wp:docPr id="1899726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261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2ABB"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8"/>
        </w:rPr>
      </w:pPr>
      <w:r>
        <w:rPr>
          <w:rFonts w:hint="eastAsia" w:ascii="Times New Roman" w:hAnsi="Times New Roman" w:eastAsia="宋体" w:cs="Times New Roman"/>
        </w:rPr>
        <w:t>图1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 w:cs="Times New Roman"/>
        </w:rPr>
        <w:t>通过共价金属有机框架光催化合成含三氟甲基的</w:t>
      </w:r>
      <w:r>
        <w:rPr>
          <w:rFonts w:ascii="Times New Roman" w:hAnsi="Times New Roman" w:eastAsia="宋体" w:cs="Times New Roman"/>
        </w:rPr>
        <w:t>β-</w:t>
      </w:r>
      <w:r>
        <w:rPr>
          <w:rFonts w:hint="eastAsia" w:ascii="Times New Roman" w:hAnsi="Times New Roman" w:eastAsia="宋体" w:cs="Times New Roman"/>
        </w:rPr>
        <w:t>氨基醇。</w:t>
      </w:r>
    </w:p>
    <w:p w14:paraId="3251077A">
      <w:pPr>
        <w:spacing w:before="156" w:beforeLines="50" w:after="156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bookmarkStart w:id="0" w:name="_Hlk159838419"/>
      <w:r>
        <w:rPr>
          <w:rFonts w:ascii="Times New Roman" w:hAnsi="Times New Roman" w:eastAsia="宋体" w:cs="Times New Roman"/>
          <w:sz w:val="24"/>
          <w:szCs w:val="24"/>
        </w:rPr>
        <w:t>β-氨基醇是众多天然产物和活性药物分子中的重要骨架。同时，三氟甲基的引入可显著改善化合物的理化性质，其赋予的亲脂性、代谢稳定性及电负性，使得三氟甲基取代化合物在医药、农药和功能材料领域应用广泛。目前，已有多种合成三氟甲基取代β-氨基醇的策略被报道，例如通过三氟甲基酮的氰基化与还原、亨利反应和β-硝基醇的还原、三氟甲基环氧乙烷的开环反应以及α-氨基羰基化合物的亲核三氟甲基化等。然而，这些方法往往受限于贵金属催化剂的使用（且不可回收）、苛刻的反应条件或多步合成路线，因而限制了其进一步应用。因此，迫切需要开发</w:t>
      </w:r>
      <w:r>
        <w:rPr>
          <w:rFonts w:hint="eastAsia" w:ascii="Times New Roman" w:hAnsi="Times New Roman" w:eastAsia="宋体" w:cs="Times New Roman"/>
          <w:sz w:val="24"/>
          <w:szCs w:val="24"/>
        </w:rPr>
        <w:t>能</w:t>
      </w:r>
      <w:r>
        <w:rPr>
          <w:rFonts w:ascii="Times New Roman" w:hAnsi="Times New Roman" w:eastAsia="宋体" w:cs="Times New Roman"/>
          <w:sz w:val="24"/>
          <w:szCs w:val="24"/>
        </w:rPr>
        <w:t>在温和条件下一步合成含</w:t>
      </w:r>
      <w:r>
        <w:rPr>
          <w:rFonts w:hint="eastAsia" w:ascii="Times New Roman" w:hAnsi="Times New Roman" w:eastAsia="宋体" w:cs="Times New Roman"/>
          <w:sz w:val="24"/>
          <w:szCs w:val="24"/>
        </w:rPr>
        <w:t>三氟甲基</w:t>
      </w:r>
      <w:r>
        <w:rPr>
          <w:rFonts w:ascii="Times New Roman" w:hAnsi="Times New Roman" w:eastAsia="宋体" w:cs="Times New Roman"/>
          <w:sz w:val="24"/>
          <w:szCs w:val="24"/>
        </w:rPr>
        <w:t>的β-氨基醇骨架的非贵金属、高效非均相光催化剂。</w:t>
      </w:r>
    </w:p>
    <w:p w14:paraId="0F04F64A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8"/>
        </w:rPr>
      </w:pPr>
      <w:r>
        <w:rPr>
          <w:rFonts w:ascii="Times New Roman" w:hAnsi="Times New Roman" w:eastAsia="宋体" w:cs="Times New Roman"/>
          <w:sz w:val="24"/>
          <w:szCs w:val="28"/>
        </w:rPr>
        <w:drawing>
          <wp:inline distT="0" distB="0" distL="0" distR="0">
            <wp:extent cx="4679950" cy="2648585"/>
            <wp:effectExtent l="0" t="0" r="6350" b="0"/>
            <wp:docPr id="12850860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86058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4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67F3F"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图2.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在空气或二氧化碳气氛中，CMOF可一步光催化合成含三氟甲基的β-氨基醇。</w:t>
      </w:r>
    </w:p>
    <w:bookmarkEnd w:id="0"/>
    <w:p w14:paraId="0D301216">
      <w:pPr>
        <w:spacing w:before="312" w:beforeLines="100" w:after="156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为此，</w:t>
      </w:r>
      <w:r>
        <w:rPr>
          <w:rFonts w:ascii="Times New Roman" w:hAnsi="Times New Roman" w:eastAsia="宋体" w:cs="Times New Roman"/>
          <w:sz w:val="24"/>
          <w:szCs w:val="24"/>
        </w:rPr>
        <w:t>本工作</w:t>
      </w:r>
      <w:r>
        <w:rPr>
          <w:rFonts w:hint="eastAsia" w:ascii="Times New Roman" w:hAnsi="Times New Roman" w:eastAsia="宋体" w:cs="Times New Roman"/>
          <w:sz w:val="24"/>
          <w:szCs w:val="24"/>
        </w:rPr>
        <w:t>设计并</w:t>
      </w:r>
      <w:r>
        <w:rPr>
          <w:rFonts w:ascii="Times New Roman" w:hAnsi="Times New Roman" w:eastAsia="宋体" w:cs="Times New Roman"/>
          <w:sz w:val="24"/>
          <w:szCs w:val="24"/>
        </w:rPr>
        <w:t>合成了两种具有光活性的CMOFs，</w:t>
      </w:r>
      <w:r>
        <w:rPr>
          <w:rFonts w:hint="eastAsia" w:ascii="Times New Roman" w:hAnsi="Times New Roman" w:eastAsia="宋体" w:cs="Times New Roman"/>
          <w:sz w:val="24"/>
          <w:szCs w:val="24"/>
        </w:rPr>
        <w:t>其能够光催化烯丙胺通过三氟甲基</w:t>
      </w:r>
      <w:r>
        <w:rPr>
          <w:rFonts w:ascii="Times New Roman" w:hAnsi="Times New Roman" w:eastAsia="宋体" w:cs="Times New Roman"/>
          <w:sz w:val="24"/>
          <w:szCs w:val="24"/>
        </w:rPr>
        <w:t>化和苄位C-H氧化一步转化为含三氟甲基的β-氨</w:t>
      </w:r>
      <w:r>
        <w:rPr>
          <w:rFonts w:hint="eastAsia" w:ascii="Times New Roman" w:hAnsi="Times New Roman" w:eastAsia="宋体" w:cs="Times New Roman"/>
          <w:sz w:val="24"/>
          <w:szCs w:val="24"/>
        </w:rPr>
        <w:t>基醇</w:t>
      </w:r>
      <w:r>
        <w:rPr>
          <w:rFonts w:ascii="Times New Roman" w:hAnsi="Times New Roman" w:eastAsia="宋体" w:cs="Times New Roman"/>
          <w:sz w:val="24"/>
          <w:szCs w:val="24"/>
        </w:rPr>
        <w:t>。通过气氛调控可切换产物类型，并成功实现了克级连续流动合成，展现出良好的应用潜力。自由基捕获实验、同位素标记实验和DFT计算共同阐明了该反应的可能机制。本研究为开发非贵金属</w:t>
      </w:r>
      <w:r>
        <w:rPr>
          <w:rFonts w:hint="eastAsia" w:ascii="Times New Roman" w:hAnsi="Times New Roman" w:eastAsia="宋体" w:cs="Times New Roman"/>
          <w:sz w:val="24"/>
          <w:szCs w:val="24"/>
        </w:rPr>
        <w:t>C</w:t>
      </w:r>
      <w:r>
        <w:rPr>
          <w:rFonts w:ascii="Times New Roman" w:hAnsi="Times New Roman" w:eastAsia="宋体" w:cs="Times New Roman"/>
          <w:sz w:val="24"/>
          <w:szCs w:val="24"/>
        </w:rPr>
        <w:t>MOF光催化剂，用于绿色合成高价值</w:t>
      </w:r>
      <w:r>
        <w:rPr>
          <w:rFonts w:hint="eastAsia" w:ascii="Times New Roman" w:hAnsi="Times New Roman" w:eastAsia="宋体" w:cs="Times New Roman"/>
          <w:sz w:val="24"/>
          <w:szCs w:val="24"/>
        </w:rPr>
        <w:t>的药物</w:t>
      </w:r>
      <w:r>
        <w:rPr>
          <w:rFonts w:ascii="Times New Roman" w:hAnsi="Times New Roman" w:eastAsia="宋体" w:cs="Times New Roman"/>
          <w:sz w:val="24"/>
          <w:szCs w:val="24"/>
        </w:rPr>
        <w:t>分子提供了新思路。</w:t>
      </w:r>
    </w:p>
    <w:p w14:paraId="25DFE3BE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4679950" cy="4918075"/>
            <wp:effectExtent l="0" t="0" r="6350" b="0"/>
            <wp:docPr id="2028254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54457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b="120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9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0BC9">
      <w:pPr>
        <w:spacing w:before="156" w:beforeLines="50" w:after="156" w:afterLines="50"/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图</w:t>
      </w:r>
      <w:r>
        <w:rPr>
          <w:rFonts w:ascii="Times New Roman" w:hAnsi="Times New Roman" w:eastAsia="宋体" w:cs="Times New Roman"/>
        </w:rPr>
        <w:t xml:space="preserve">3. </w:t>
      </w:r>
      <w:r>
        <w:rPr>
          <w:rFonts w:hint="eastAsia" w:ascii="Times New Roman" w:hAnsi="Times New Roman" w:eastAsia="宋体" w:cs="Times New Roman"/>
          <w:bCs/>
          <w:w w:val="108"/>
          <w:szCs w:val="21"/>
        </w:rPr>
        <w:t>自然光照及连续流动放大实验</w:t>
      </w:r>
    </w:p>
    <w:p w14:paraId="50F66FB3">
      <w:pPr>
        <w:spacing w:line="360" w:lineRule="auto"/>
        <w:jc w:val="center"/>
        <w:rPr>
          <w:rFonts w:ascii="Times New Roman" w:hAnsi="Times New Roman" w:eastAsia="宋体" w:cs="Times New Roman"/>
        </w:rPr>
      </w:pPr>
    </w:p>
    <w:p w14:paraId="56A0A3EA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上述研究成果发表在</w:t>
      </w:r>
      <w:r>
        <w:rPr>
          <w:rFonts w:hint="eastAsia" w:ascii="Times New Roman" w:hAnsi="Times New Roman" w:eastAsia="宋体" w:cs="Times New Roman"/>
          <w:b/>
          <w:i/>
          <w:sz w:val="24"/>
          <w:szCs w:val="24"/>
        </w:rPr>
        <w:t>National Science Review</w:t>
      </w:r>
      <w:r>
        <w:rPr>
          <w:rFonts w:ascii="Times New Roman" w:hAnsi="Times New Roman" w:eastAsia="宋体" w:cs="Times New Roman"/>
          <w:sz w:val="24"/>
          <w:szCs w:val="24"/>
        </w:rPr>
        <w:t>上</w:t>
      </w:r>
      <w:r>
        <w:rPr>
          <w:rFonts w:hint="eastAsia" w:ascii="Times New Roman" w:hAnsi="Times New Roman" w:eastAsia="宋体" w:cs="Times New Roman"/>
          <w:sz w:val="24"/>
          <w:szCs w:val="24"/>
        </w:rPr>
        <w:t>，文章的</w:t>
      </w:r>
      <w:r>
        <w:rPr>
          <w:rFonts w:ascii="Times New Roman" w:hAnsi="Times New Roman" w:eastAsia="宋体" w:cs="Times New Roman"/>
          <w:sz w:val="24"/>
          <w:szCs w:val="24"/>
        </w:rPr>
        <w:t>第一作者</w:t>
      </w:r>
      <w:r>
        <w:rPr>
          <w:rFonts w:hint="eastAsia" w:ascii="Times New Roman" w:hAnsi="Times New Roman" w:eastAsia="宋体" w:cs="Times New Roman"/>
          <w:sz w:val="24"/>
          <w:szCs w:val="24"/>
        </w:rPr>
        <w:t>为暨南大学博士研究生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陈旭</w:t>
      </w:r>
      <w:r>
        <w:rPr>
          <w:rFonts w:hint="eastAsia" w:ascii="Times New Roman" w:hAnsi="Times New Roman" w:eastAsia="宋体" w:cs="Times New Roman"/>
          <w:sz w:val="24"/>
          <w:szCs w:val="24"/>
        </w:rPr>
        <w:t>，通讯作者为暨南大学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宁国宏</w:t>
      </w:r>
      <w:r>
        <w:rPr>
          <w:rFonts w:hint="eastAsia" w:ascii="Times New Roman" w:hAnsi="Times New Roman" w:eastAsia="宋体" w:cs="Times New Roman"/>
          <w:sz w:val="24"/>
          <w:szCs w:val="24"/>
        </w:rPr>
        <w:t>教授和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李丹</w:t>
      </w:r>
      <w:r>
        <w:rPr>
          <w:rFonts w:hint="eastAsia" w:ascii="Times New Roman" w:hAnsi="Times New Roman" w:eastAsia="宋体" w:cs="Times New Roman"/>
          <w:sz w:val="24"/>
          <w:szCs w:val="24"/>
        </w:rPr>
        <w:t>教授。</w:t>
      </w:r>
      <w:r>
        <w:rPr>
          <w:rFonts w:ascii="Times New Roman" w:hAnsi="Times New Roman" w:eastAsia="宋体" w:cs="Times New Roman"/>
          <w:sz w:val="24"/>
          <w:szCs w:val="24"/>
        </w:rPr>
        <w:t>该</w:t>
      </w:r>
      <w:r>
        <w:rPr>
          <w:rFonts w:hint="eastAsia" w:ascii="Times New Roman" w:hAnsi="Times New Roman" w:eastAsia="宋体" w:cs="Times New Roman"/>
          <w:sz w:val="24"/>
          <w:szCs w:val="24"/>
        </w:rPr>
        <w:t>工作</w:t>
      </w:r>
      <w:r>
        <w:rPr>
          <w:rFonts w:ascii="Times New Roman" w:hAnsi="Times New Roman" w:eastAsia="宋体" w:cs="Times New Roman"/>
          <w:sz w:val="24"/>
          <w:szCs w:val="24"/>
        </w:rPr>
        <w:t>得到了</w:t>
      </w:r>
      <w:r>
        <w:rPr>
          <w:rFonts w:hint="eastAsia" w:ascii="Times New Roman" w:hAnsi="Times New Roman" w:eastAsia="宋体" w:cs="Times New Roman"/>
          <w:sz w:val="24"/>
          <w:szCs w:val="24"/>
        </w:rPr>
        <w:t>香港中文大学（深圳）陈仲欣老师、华南理工大学韩宇老师、</w:t>
      </w:r>
      <w:r>
        <w:rPr>
          <w:rFonts w:ascii="Times New Roman" w:hAnsi="Times New Roman" w:eastAsia="宋体" w:cs="Times New Roman"/>
          <w:sz w:val="24"/>
          <w:szCs w:val="24"/>
        </w:rPr>
        <w:t>国家自然科学基金和暨南大学的大力</w:t>
      </w:r>
      <w:r>
        <w:rPr>
          <w:rFonts w:hint="eastAsia" w:ascii="Times New Roman" w:hAnsi="Times New Roman" w:eastAsia="宋体" w:cs="Times New Roman"/>
          <w:sz w:val="24"/>
          <w:szCs w:val="24"/>
        </w:rPr>
        <w:t>支持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 w14:paraId="60CDB5E0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《国家科学评论》（National Science Review，简称NSR）是由中国科学院主管、科学出版社主办和出版的综合性学术期刊</w:t>
      </w:r>
      <w:r>
        <w:rPr>
          <w:rFonts w:hint="eastAsia" w:ascii="Times New Roman" w:hAnsi="Times New Roman" w:eastAsia="宋体" w:cs="Times New Roman"/>
          <w:sz w:val="24"/>
          <w:szCs w:val="24"/>
        </w:rPr>
        <w:t>（IF = 17.1，中科院综合性期刊一区）</w:t>
      </w:r>
      <w:r>
        <w:rPr>
          <w:rFonts w:ascii="Times New Roman" w:hAnsi="Times New Roman" w:eastAsia="宋体" w:cs="Times New Roman"/>
          <w:sz w:val="24"/>
          <w:szCs w:val="24"/>
        </w:rPr>
        <w:t>，致力于全方位、多角度地展示中外自然科学各领域的代表性研究成果，追踪报道重大科技事件，深度解读热点研究和重要科技政策等，报道范围涵盖数理科学、化学科学、生命科学、地球科学、材料科学、信息科学等六大领域</w:t>
      </w:r>
      <w:r>
        <w:rPr>
          <w:rFonts w:hint="eastAsia" w:ascii="Times New Roman" w:hAnsi="Times New Roman" w:eastAsia="宋体" w:cs="Times New Roman"/>
          <w:sz w:val="24"/>
          <w:szCs w:val="24"/>
        </w:rPr>
        <w:t>。</w:t>
      </w:r>
    </w:p>
    <w:p w14:paraId="323BF27A">
      <w:pPr>
        <w:spacing w:line="360" w:lineRule="auto"/>
        <w:ind w:firstLine="48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 w:val="24"/>
          <w:szCs w:val="28"/>
        </w:rPr>
        <w:t>论文链接：</w:t>
      </w:r>
      <w:r>
        <w:rPr>
          <w:rFonts w:hint="eastAsia" w:ascii="Times New Roman" w:hAnsi="Times New Roman" w:cs="Times New Roman"/>
          <w:sz w:val="24"/>
          <w:szCs w:val="28"/>
        </w:rPr>
        <w:t>https://doi.org/10.1093/nsr/nwaf463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awsDA0Njc3MjI1NzBT0lEKTi0uzszPAykwNKwFAM/K0iItAAAA"/>
  </w:docVars>
  <w:rsids>
    <w:rsidRoot w:val="00BD22EF"/>
    <w:rsid w:val="00004F2B"/>
    <w:rsid w:val="000051C2"/>
    <w:rsid w:val="0000528E"/>
    <w:rsid w:val="00012EBC"/>
    <w:rsid w:val="000141F2"/>
    <w:rsid w:val="00017867"/>
    <w:rsid w:val="00023D08"/>
    <w:rsid w:val="000249BF"/>
    <w:rsid w:val="00030664"/>
    <w:rsid w:val="00037724"/>
    <w:rsid w:val="00051E1D"/>
    <w:rsid w:val="00054F80"/>
    <w:rsid w:val="00066485"/>
    <w:rsid w:val="00066EC1"/>
    <w:rsid w:val="0007478E"/>
    <w:rsid w:val="00075929"/>
    <w:rsid w:val="00077A6C"/>
    <w:rsid w:val="00086942"/>
    <w:rsid w:val="000B0D0B"/>
    <w:rsid w:val="000B475C"/>
    <w:rsid w:val="000C60F4"/>
    <w:rsid w:val="000C6659"/>
    <w:rsid w:val="000F0F9B"/>
    <w:rsid w:val="000F5D4E"/>
    <w:rsid w:val="001131A3"/>
    <w:rsid w:val="00157B78"/>
    <w:rsid w:val="001760B2"/>
    <w:rsid w:val="001774CB"/>
    <w:rsid w:val="00195256"/>
    <w:rsid w:val="001A3C3F"/>
    <w:rsid w:val="001B17C4"/>
    <w:rsid w:val="001B60A7"/>
    <w:rsid w:val="001C3894"/>
    <w:rsid w:val="001E2FD2"/>
    <w:rsid w:val="00215CAE"/>
    <w:rsid w:val="00221D43"/>
    <w:rsid w:val="0025157A"/>
    <w:rsid w:val="00263B7C"/>
    <w:rsid w:val="002726FA"/>
    <w:rsid w:val="0027642F"/>
    <w:rsid w:val="00283210"/>
    <w:rsid w:val="00295000"/>
    <w:rsid w:val="00297DA8"/>
    <w:rsid w:val="002D1A15"/>
    <w:rsid w:val="002D6C71"/>
    <w:rsid w:val="002E0D99"/>
    <w:rsid w:val="002E3059"/>
    <w:rsid w:val="002F2457"/>
    <w:rsid w:val="0030246E"/>
    <w:rsid w:val="0030407C"/>
    <w:rsid w:val="00333317"/>
    <w:rsid w:val="00337750"/>
    <w:rsid w:val="00344741"/>
    <w:rsid w:val="00353ACC"/>
    <w:rsid w:val="0035460D"/>
    <w:rsid w:val="0036136A"/>
    <w:rsid w:val="003A4F5E"/>
    <w:rsid w:val="003C6439"/>
    <w:rsid w:val="003D30E2"/>
    <w:rsid w:val="003E3D91"/>
    <w:rsid w:val="003F4122"/>
    <w:rsid w:val="004033B2"/>
    <w:rsid w:val="00405CCE"/>
    <w:rsid w:val="004104DB"/>
    <w:rsid w:val="0042051A"/>
    <w:rsid w:val="004245A5"/>
    <w:rsid w:val="00433E0E"/>
    <w:rsid w:val="004554EC"/>
    <w:rsid w:val="00455D8D"/>
    <w:rsid w:val="00461EDD"/>
    <w:rsid w:val="004765BB"/>
    <w:rsid w:val="004C09AF"/>
    <w:rsid w:val="004D6A21"/>
    <w:rsid w:val="00541A04"/>
    <w:rsid w:val="00544263"/>
    <w:rsid w:val="005627F1"/>
    <w:rsid w:val="005764EC"/>
    <w:rsid w:val="00585194"/>
    <w:rsid w:val="005A29FF"/>
    <w:rsid w:val="005A5B92"/>
    <w:rsid w:val="005B6159"/>
    <w:rsid w:val="005C63EE"/>
    <w:rsid w:val="005D10D5"/>
    <w:rsid w:val="005E0E07"/>
    <w:rsid w:val="005E6648"/>
    <w:rsid w:val="005F280B"/>
    <w:rsid w:val="005F73D6"/>
    <w:rsid w:val="00603EF6"/>
    <w:rsid w:val="00623A77"/>
    <w:rsid w:val="006242CA"/>
    <w:rsid w:val="00627AE1"/>
    <w:rsid w:val="006460DB"/>
    <w:rsid w:val="00656842"/>
    <w:rsid w:val="00672323"/>
    <w:rsid w:val="006B1FD7"/>
    <w:rsid w:val="006E0E71"/>
    <w:rsid w:val="006F4923"/>
    <w:rsid w:val="006F78AE"/>
    <w:rsid w:val="00705633"/>
    <w:rsid w:val="00705F83"/>
    <w:rsid w:val="00723701"/>
    <w:rsid w:val="0075481E"/>
    <w:rsid w:val="00777433"/>
    <w:rsid w:val="00794B3E"/>
    <w:rsid w:val="007C313E"/>
    <w:rsid w:val="007E7BA3"/>
    <w:rsid w:val="007F302F"/>
    <w:rsid w:val="00800F20"/>
    <w:rsid w:val="0080427C"/>
    <w:rsid w:val="00806DF3"/>
    <w:rsid w:val="0084136D"/>
    <w:rsid w:val="00853215"/>
    <w:rsid w:val="00887613"/>
    <w:rsid w:val="00896AE6"/>
    <w:rsid w:val="008B192E"/>
    <w:rsid w:val="008C4D78"/>
    <w:rsid w:val="008C60A9"/>
    <w:rsid w:val="008E1874"/>
    <w:rsid w:val="008E3064"/>
    <w:rsid w:val="008F3049"/>
    <w:rsid w:val="009131EF"/>
    <w:rsid w:val="00913450"/>
    <w:rsid w:val="0092251F"/>
    <w:rsid w:val="00933EFF"/>
    <w:rsid w:val="00954B3B"/>
    <w:rsid w:val="00955878"/>
    <w:rsid w:val="009810C6"/>
    <w:rsid w:val="009832F5"/>
    <w:rsid w:val="0099222C"/>
    <w:rsid w:val="009B0946"/>
    <w:rsid w:val="009B2E5D"/>
    <w:rsid w:val="009C5F17"/>
    <w:rsid w:val="009D5F5F"/>
    <w:rsid w:val="009D68AC"/>
    <w:rsid w:val="00A0796B"/>
    <w:rsid w:val="00A10A75"/>
    <w:rsid w:val="00A20AD4"/>
    <w:rsid w:val="00A2228C"/>
    <w:rsid w:val="00A5663A"/>
    <w:rsid w:val="00A870F9"/>
    <w:rsid w:val="00A961A0"/>
    <w:rsid w:val="00A963B1"/>
    <w:rsid w:val="00AD0D2C"/>
    <w:rsid w:val="00AE326A"/>
    <w:rsid w:val="00AF6F33"/>
    <w:rsid w:val="00B0005D"/>
    <w:rsid w:val="00B026FE"/>
    <w:rsid w:val="00B24AF9"/>
    <w:rsid w:val="00B424C6"/>
    <w:rsid w:val="00B46812"/>
    <w:rsid w:val="00B644EE"/>
    <w:rsid w:val="00B77A58"/>
    <w:rsid w:val="00BA37DD"/>
    <w:rsid w:val="00BB1F60"/>
    <w:rsid w:val="00BC36F5"/>
    <w:rsid w:val="00BD22EF"/>
    <w:rsid w:val="00BD3954"/>
    <w:rsid w:val="00C162DA"/>
    <w:rsid w:val="00C32A9A"/>
    <w:rsid w:val="00C365A4"/>
    <w:rsid w:val="00C50E44"/>
    <w:rsid w:val="00C558F1"/>
    <w:rsid w:val="00C5772E"/>
    <w:rsid w:val="00C636D2"/>
    <w:rsid w:val="00C762AF"/>
    <w:rsid w:val="00C860BE"/>
    <w:rsid w:val="00C91C2C"/>
    <w:rsid w:val="00CB2300"/>
    <w:rsid w:val="00CB3F3F"/>
    <w:rsid w:val="00CE5F26"/>
    <w:rsid w:val="00CF0F91"/>
    <w:rsid w:val="00D12A49"/>
    <w:rsid w:val="00D2656E"/>
    <w:rsid w:val="00D368A9"/>
    <w:rsid w:val="00D53BFA"/>
    <w:rsid w:val="00D62DE3"/>
    <w:rsid w:val="00D973DB"/>
    <w:rsid w:val="00DA0482"/>
    <w:rsid w:val="00DA1AD2"/>
    <w:rsid w:val="00DC0E11"/>
    <w:rsid w:val="00DC71E4"/>
    <w:rsid w:val="00DD2954"/>
    <w:rsid w:val="00DD4EF7"/>
    <w:rsid w:val="00DD72A3"/>
    <w:rsid w:val="00DE0C2B"/>
    <w:rsid w:val="00DE41A7"/>
    <w:rsid w:val="00DF02B9"/>
    <w:rsid w:val="00E035B7"/>
    <w:rsid w:val="00E10493"/>
    <w:rsid w:val="00E34A94"/>
    <w:rsid w:val="00E56CA9"/>
    <w:rsid w:val="00E63255"/>
    <w:rsid w:val="00E73259"/>
    <w:rsid w:val="00E7356C"/>
    <w:rsid w:val="00EA11A2"/>
    <w:rsid w:val="00EC0F63"/>
    <w:rsid w:val="00EE171D"/>
    <w:rsid w:val="00F1617D"/>
    <w:rsid w:val="00F24FDF"/>
    <w:rsid w:val="00F446B4"/>
    <w:rsid w:val="00F60208"/>
    <w:rsid w:val="00F64FC4"/>
    <w:rsid w:val="00F73304"/>
    <w:rsid w:val="00F73736"/>
    <w:rsid w:val="00FA12B5"/>
    <w:rsid w:val="00FA4DF8"/>
    <w:rsid w:val="00FE0742"/>
    <w:rsid w:val="00FE777A"/>
    <w:rsid w:val="550C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未处理的提及1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913</Words>
  <Characters>1113</Characters>
  <Lines>8</Lines>
  <Paragraphs>2</Paragraphs>
  <TotalTime>3</TotalTime>
  <ScaleCrop>false</ScaleCrop>
  <LinksUpToDate>false</LinksUpToDate>
  <CharactersWithSpaces>1133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2025-11-12T09:29:00Z</dcterms:created>
  <dc:creator>ROG</dc:creator>
  <cp:lastModifiedBy>WPS_1687015107</cp:lastModifiedBy>
  <dcterms:modified xsi:type="dcterms:W3CDTF">2025-11-17T07:36:35Z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487777E59F4D4E1A92BC580BE7BA7DBD_13</vt:lpwstr>
  </property>
</Properties>
</file>